
<file path=[Content_Types].xml><?xml version="1.0" encoding="utf-8"?>
<Types xmlns="http://schemas.openxmlformats.org/package/2006/content-types">
  <Default Extension="xml" ContentType="application/xml"/>
  <Default Extension="xlsx" ContentType="application/vnd.openxmlformats-officedocument.spreadsheetml.sheet"/>
  <Default Extension="bmp" ContentType="image/bmp"/>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r>
        <mc:AlternateContent>
          <mc:Choice Requires="wpg">
            <w:drawing>
              <wp:anchor distT="0" distB="0" distL="0" distR="0" simplePos="0" relativeHeight="251659264" behindDoc="1" locked="0" layoutInCell="0" allowOverlap="1">
                <wp:simplePos x="0" y="0"/>
                <wp:positionH relativeFrom="column">
                  <wp:posOffset>6284595</wp:posOffset>
                </wp:positionH>
                <wp:positionV relativeFrom="paragraph">
                  <wp:posOffset>137160</wp:posOffset>
                </wp:positionV>
                <wp:extent cx="0" cy="0"/>
                <wp:effectExtent l="0" t="0" r="635" b="635"/>
                <wp:wrapNone/>
                <wp:docPr id="1" name="组合 19"/>
                <wp:cNvGraphicFramePr/>
                <a:graphic xmlns:a="http://schemas.openxmlformats.org/drawingml/2006/main">
                  <a:graphicData uri="http://schemas.microsoft.com/office/word/2010/wordprocessingGroup">
                    <wpg:wgp>
                      <wpg:cNvGrpSpPr/>
                      <wpg:grpSpPr>
                        <a:xfrm>
                          <a:off x="0" y="0"/>
                          <a:ext cx="0" cy="0"/>
                          <a:chOff x="0" y="0"/>
                          <a:chExt cx="7623000" cy="802800"/>
                        </a:xfrm>
                      </wpg:grpSpPr>
                      <wps:wsp>
                        <wps:cNvPr id="2" name="矩形 2"/>
                        <wps:cNvSpPr/>
                        <wps:spPr>
                          <a:xfrm>
                            <a:off x="0" y="0"/>
                            <a:ext cx="7623000" cy="802800"/>
                          </a:xfrm>
                          <a:prstGeom prst="rect">
                            <a:avLst/>
                          </a:prstGeom>
                          <a:solidFill>
                            <a:srgbClr val="FDBC11"/>
                          </a:solidFill>
                          <a:ln w="12700">
                            <a:noFill/>
                          </a:ln>
                        </wps:spPr>
                        <wps:style>
                          <a:lnRef idx="0">
                            <a:srgbClr val="FFFFFF"/>
                          </a:lnRef>
                          <a:fillRef idx="0">
                            <a:srgbClr val="FFFFFF"/>
                          </a:fillRef>
                          <a:effectRef idx="0">
                            <a:srgbClr val="FFFFFF"/>
                          </a:effectRef>
                          <a:fontRef idx="minor"/>
                        </wps:style>
                        <wps:bodyPr/>
                      </wps:wsp>
                      <wps:wsp>
                        <wps:cNvPr id="3" name="矩形 3"/>
                        <wps:cNvSpPr/>
                        <wps:spPr>
                          <a:xfrm>
                            <a:off x="0" y="0"/>
                            <a:ext cx="0" cy="0"/>
                          </a:xfrm>
                          <a:prstGeom prst="rect">
                            <a:avLst/>
                          </a:prstGeom>
                          <a:noFill/>
                          <a:ln w="0">
                            <a:noFill/>
                          </a:ln>
                        </wps:spPr>
                        <wps:style>
                          <a:lnRef idx="0">
                            <a:srgbClr val="FFFFFF"/>
                          </a:lnRef>
                          <a:fillRef idx="0">
                            <a:srgbClr val="FFFFFF"/>
                          </a:fillRef>
                          <a:effectRef idx="0">
                            <a:srgbClr val="FFFFFF"/>
                          </a:effectRef>
                          <a:fontRef idx="minor"/>
                        </wps:style>
                        <wps:txbx>
                          <w:txbxContent>
                            <w:p>
                              <w:pPr>
                                <w:overflowPunct w:val="0"/>
                                <w:spacing w:before="0" w:after="0" w:line="240" w:lineRule="auto"/>
                                <w:jc w:val="left"/>
                              </w:pPr>
                              <w:r>
                                <w:rPr>
                                  <w:rFonts w:ascii="思源黑体 HW Bold" w:hAnsi="思源黑体 HW Bold" w:eastAsia="思源黑体 HW Bold" w:cs="Times New Roman"/>
                                  <w:b w:val="0"/>
                                  <w:bCs w:val="0"/>
                                  <w:i w:val="0"/>
                                  <w:iCs w:val="0"/>
                                  <w:caps w:val="0"/>
                                  <w:smallCaps w:val="0"/>
                                  <w:strike w:val="0"/>
                                  <w:dstrike w:val="0"/>
                                  <w:color w:val="000000" w:themeColor="text1"/>
                                  <w:spacing w:val="0"/>
                                  <w:kern w:val="0"/>
                                  <w:position w:val="0"/>
                                  <w:sz w:val="92"/>
                                  <w:szCs w:val="92"/>
                                  <w:u w:val="none"/>
                                  <w:vertAlign w:val="baseline"/>
                                  <w:lang w:bidi="hi-IN"/>
                                  <w14:textFill>
                                    <w14:solidFill>
                                      <w14:schemeClr w14:val="tx1"/>
                                    </w14:solidFill>
                                  </w14:textFill>
                                </w:rPr>
                                <w:t>部门决算公开文本</w:t>
                              </w:r>
                            </w:p>
                          </w:txbxContent>
                        </wps:txbx>
                        <wps:bodyPr lIns="90000" tIns="45000" rIns="90000" bIns="45000">
                          <a:spAutoFit/>
                        </wps:bodyPr>
                      </wps:wsp>
                    </wpg:wgp>
                  </a:graphicData>
                </a:graphic>
              </wp:anchor>
            </w:drawing>
          </mc:Choice>
          <mc:Fallback>
            <w:pict>
              <v:group id="组合 19" o:spid="_x0000_s1026" o:spt="203" style="position:absolute;left:0pt;margin-left:494.85pt;margin-top:10.8pt;height:0pt;width:0pt;z-index:-251657216;mso-width-relative:page;mso-height-relative:page;" coordsize="7623000,802800" o:allowincell="f" o:gfxdata="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wo2nvWAAAACQEAAA8AAAAA&#10;AAAAAQAgAAAAIgAAAGRycy9kb3ducmV2LnhtbFBLAQIUABQAAAAIAIdO4kAnVXPfTwIAACIGAAAO&#10;AAAAAAAAAAEAIAAAACUBAABkcnMvZTJvRG9jLnhtbFBLBQYAAAAABgAGAFkBAADmBQAAAAA=&#10;">
                <o:lock v:ext="edit" aspectratio="f"/>
                <v:rect id="_x0000_s1026" o:spid="_x0000_s1026" o:spt="1" style="position:absolute;left:0;top:0;height:802800;width:7623000;" fillcolor="#FDBC11" filled="t" stroked="f" coordsize="21600,21600" o:gfxdata="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1w7kvQAA&#10;ANoAAAAPAAAAAAAAAAEAIAAAACIAAABkcnMvZG93bnJldi54bWxQSwECFAAUAAAACACHTuJAMy8F&#10;njsAAAA5AAAAEAAAAAAAAAABACAAAAAMAQAAZHJzL3NoYXBleG1sLnhtbFBLBQYAAAAABgAGAFsB&#10;AAC2AwAAAAA=&#10;">
                  <v:fill on="t" focussize="0,0"/>
                  <v:stroke on="f" weight="1pt"/>
                  <v:imagedata o:title=""/>
                  <o:lock v:ext="edit" aspectratio="f"/>
                </v:rect>
                <v:rect id="_x0000_s1026" o:spid="_x0000_s1026" o:spt="1" style="position:absolute;left:0;top:0;height:0;width:0;" filled="f" stroked="f" coordsize="21600,21600" o:gfxdata="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xezib4A&#10;AADaAAAADwAAAAAAAAABACAAAAAiAAAAZHJzL2Rvd25yZXYueG1sUEsBAhQAFAAAAAgAh07iQDMv&#10;BZ47AAAAOQAAABAAAAAAAAAAAQAgAAAADQEAAGRycy9zaGFwZXhtbC54bWxQSwUGAAAAAAYABgBb&#10;AQAAtwMAAAAA&#10;">
                  <v:fill on="f" focussize="0,0"/>
                  <v:stroke on="f" weight="0pt"/>
                  <v:imagedata o:title=""/>
                  <o:lock v:ext="edit" aspectratio="f"/>
                  <v:textbox inset="2.5mm,1.25mm,2.5mm,1.25mm" style="mso-fit-shape-to-text:t;">
                    <w:txbxContent>
                      <w:p>
                        <w:pPr>
                          <w:overflowPunct w:val="0"/>
                          <w:spacing w:before="0" w:after="0" w:line="240" w:lineRule="auto"/>
                          <w:jc w:val="left"/>
                        </w:pPr>
                        <w:r>
                          <w:rPr>
                            <w:rFonts w:ascii="思源黑体 HW Bold" w:hAnsi="思源黑体 HW Bold" w:eastAsia="思源黑体 HW Bold" w:cs="Times New Roman"/>
                            <w:b w:val="0"/>
                            <w:bCs w:val="0"/>
                            <w:i w:val="0"/>
                            <w:iCs w:val="0"/>
                            <w:caps w:val="0"/>
                            <w:smallCaps w:val="0"/>
                            <w:strike w:val="0"/>
                            <w:dstrike w:val="0"/>
                            <w:color w:val="000000" w:themeColor="text1"/>
                            <w:spacing w:val="0"/>
                            <w:kern w:val="0"/>
                            <w:position w:val="0"/>
                            <w:sz w:val="92"/>
                            <w:szCs w:val="92"/>
                            <w:u w:val="none"/>
                            <w:vertAlign w:val="baseline"/>
                            <w:lang w:bidi="hi-IN"/>
                            <w14:textFill>
                              <w14:solidFill>
                                <w14:schemeClr w14:val="tx1"/>
                              </w14:solidFill>
                            </w14:textFill>
                          </w:rPr>
                          <w:t>部门决算公开文本</w:t>
                        </w:r>
                      </w:p>
                    </w:txbxContent>
                  </v:textbox>
                </v:rect>
              </v:group>
            </w:pict>
          </mc:Fallback>
        </mc:AlternateContent>
      </w:r>
      <w:r>
        <mc:AlternateContent>
          <mc:Choice Requires="wps">
            <w:drawing>
              <wp:anchor distT="0" distB="0" distL="0" distR="0" simplePos="0" relativeHeight="251659264" behindDoc="0" locked="0" layoutInCell="0" allowOverlap="1">
                <wp:simplePos x="0" y="0"/>
                <wp:positionH relativeFrom="column">
                  <wp:posOffset>679450</wp:posOffset>
                </wp:positionH>
                <wp:positionV relativeFrom="paragraph">
                  <wp:posOffset>2952115</wp:posOffset>
                </wp:positionV>
                <wp:extent cx="1549400" cy="1549400"/>
                <wp:effectExtent l="0" t="0" r="13335" b="13335"/>
                <wp:wrapNone/>
                <wp:docPr id="4" name="椭圆 8"/>
                <wp:cNvGraphicFramePr/>
                <a:graphic xmlns:a="http://schemas.openxmlformats.org/drawingml/2006/main">
                  <a:graphicData uri="http://schemas.microsoft.com/office/word/2010/wordprocessingShape">
                    <wps:wsp>
                      <wps:cNvSpPr/>
                      <wps:spPr>
                        <a:xfrm>
                          <a:off x="0" y="0"/>
                          <a:ext cx="1548720" cy="1548720"/>
                        </a:xfrm>
                        <a:prstGeom prst="ellipse">
                          <a:avLst/>
                        </a:prstGeom>
                        <a:solidFill>
                          <a:srgbClr val="FFFFFF"/>
                        </a:solidFill>
                        <a:ln w="12700">
                          <a:noFill/>
                        </a:ln>
                      </wps:spPr>
                      <wps:style>
                        <a:lnRef idx="0">
                          <a:srgbClr val="FFFFFF"/>
                        </a:lnRef>
                        <a:fillRef idx="0">
                          <a:srgbClr val="FFFFFF"/>
                        </a:fillRef>
                        <a:effectRef idx="0">
                          <a:srgbClr val="FFFFFF"/>
                        </a:effectRef>
                        <a:fontRef idx="minor"/>
                      </wps:style>
                      <wps:txbx>
                        <w:txbxContent>
                          <w:p>
                            <w:pPr>
                              <w:pStyle w:val="11"/>
                            </w:pPr>
                          </w:p>
                        </w:txbxContent>
                      </wps:txbx>
                      <wps:bodyPr anchor="ctr">
                        <a:noAutofit/>
                      </wps:bodyPr>
                    </wps:wsp>
                  </a:graphicData>
                </a:graphic>
              </wp:anchor>
            </w:drawing>
          </mc:Choice>
          <mc:Fallback>
            <w:pict>
              <v:shape id="椭圆 8" o:spid="_x0000_s1026" o:spt="3" type="#_x0000_t3" style="position:absolute;left:0pt;margin-left:53.5pt;margin-top:232.45pt;height:122pt;width:122pt;z-index:251659264;v-text-anchor:middle;mso-width-relative:page;mso-height-relative:page;" fillcolor="#FFFFFF" filled="t" stroked="f" coordsize="21600,21600" o:allowincell="f" o:gfxdata="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in5qDaAAAACwEAAA8AAAAAAAAAAQAgAAAAIgAAAGRycy9k&#10;b3ducmV2LnhtbFBLAQIUABQAAAAIAIdO4kAIwXBCxwEAAJMDAAAOAAAAAAAAAAEAIAAAACkBAABk&#10;cnMvZTJvRG9jLnhtbFBLBQYAAAAABgAGAFkBAABiBQAAAAA=&#10;">
                <v:fill on="t" focussize="0,0"/>
                <v:stroke on="f" weight="1pt"/>
                <v:imagedata o:title=""/>
                <o:lock v:ext="edit" aspectratio="f"/>
                <v:textbox>
                  <w:txbxContent>
                    <w:p>
                      <w:pPr>
                        <w:pStyle w:val="11"/>
                      </w:pPr>
                    </w:p>
                  </w:txbxContent>
                </v:textbox>
              </v:shape>
            </w:pict>
          </mc:Fallback>
        </mc:AlternateContent>
      </w:r>
      <w:r>
        <mc:AlternateContent>
          <mc:Choice Requires="wpg">
            <w:drawing>
              <wp:anchor distT="0" distB="0" distL="0" distR="0" simplePos="0" relativeHeight="251659264" behindDoc="0" locked="0" layoutInCell="0" allowOverlap="1">
                <wp:simplePos x="0" y="0"/>
                <wp:positionH relativeFrom="column">
                  <wp:posOffset>15875</wp:posOffset>
                </wp:positionH>
                <wp:positionV relativeFrom="paragraph">
                  <wp:posOffset>10435590</wp:posOffset>
                </wp:positionV>
                <wp:extent cx="7560310" cy="273050"/>
                <wp:effectExtent l="0" t="0" r="3175" b="13335"/>
                <wp:wrapNone/>
                <wp:docPr id="5" name="组合 22"/>
                <wp:cNvGraphicFramePr/>
                <a:graphic xmlns:a="http://schemas.openxmlformats.org/drawingml/2006/main">
                  <a:graphicData uri="http://schemas.microsoft.com/office/word/2010/wordprocessingGroup">
                    <wpg:wgp>
                      <wpg:cNvGrpSpPr/>
                      <wpg:grpSpPr>
                        <a:xfrm>
                          <a:off x="0" y="0"/>
                          <a:ext cx="7559640" cy="272520"/>
                          <a:chOff x="0" y="0"/>
                          <a:chExt cx="7559640" cy="272520"/>
                        </a:xfrm>
                      </wpg:grpSpPr>
                      <wps:wsp>
                        <wps:cNvPr id="6" name="矩形 6"/>
                        <wps:cNvSpPr/>
                        <wps:spPr>
                          <a:xfrm>
                            <a:off x="0" y="0"/>
                            <a:ext cx="713880" cy="271800"/>
                          </a:xfrm>
                          <a:prstGeom prst="rect">
                            <a:avLst/>
                          </a:prstGeom>
                          <a:solidFill>
                            <a:srgbClr val="FDBC11"/>
                          </a:solidFill>
                          <a:ln w="12700">
                            <a:noFill/>
                          </a:ln>
                        </wps:spPr>
                        <wps:style>
                          <a:lnRef idx="0">
                            <a:srgbClr val="FFFFFF"/>
                          </a:lnRef>
                          <a:fillRef idx="0">
                            <a:srgbClr val="FFFFFF"/>
                          </a:fillRef>
                          <a:effectRef idx="0">
                            <a:srgbClr val="FFFFFF"/>
                          </a:effectRef>
                          <a:fontRef idx="minor"/>
                        </wps:style>
                        <wps:bodyPr/>
                      </wps:wsp>
                      <wps:wsp>
                        <wps:cNvPr id="7" name="矩形 7"/>
                        <wps:cNvSpPr/>
                        <wps:spPr>
                          <a:xfrm>
                            <a:off x="714240" y="720"/>
                            <a:ext cx="6845400" cy="271800"/>
                          </a:xfrm>
                          <a:prstGeom prst="rect">
                            <a:avLst/>
                          </a:prstGeom>
                          <a:solidFill>
                            <a:srgbClr val="1F2959"/>
                          </a:solidFill>
                          <a:ln w="12700">
                            <a:noFill/>
                          </a:ln>
                        </wps:spPr>
                        <wps:style>
                          <a:lnRef idx="0">
                            <a:srgbClr val="FFFFFF"/>
                          </a:lnRef>
                          <a:fillRef idx="0">
                            <a:srgbClr val="FFFFFF"/>
                          </a:fillRef>
                          <a:effectRef idx="0">
                            <a:srgbClr val="FFFFFF"/>
                          </a:effectRef>
                          <a:fontRef idx="minor"/>
                        </wps:style>
                        <wps:bodyPr/>
                      </wps:wsp>
                    </wpg:wgp>
                  </a:graphicData>
                </a:graphic>
              </wp:anchor>
            </w:drawing>
          </mc:Choice>
          <mc:Fallback>
            <w:pict>
              <v:group id="组合 22" o:spid="_x0000_s1026" o:spt="203" style="position:absolute;left:0pt;margin-left:1.25pt;margin-top:821.7pt;height:21.5pt;width:595.3pt;z-index:251659264;mso-width-relative:page;mso-height-relative:page;" coordsize="7559640,272520" o:allowincell="f" o:gfxdata="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8DqYM2wAAAAwBAAAPAAAAAAAAAAEAIAAAACIA&#10;AABkcnMvZG93bnJldi54bWxQSwECFAAUAAAACACHTuJA3FTcJz8CAAASBgAADgAAAAAAAAABACAA&#10;AAAqAQAAZHJzL2Uyb0RvYy54bWxQSwUGAAAAAAYABgBZAQAA2wUAAAAA&#10;">
                <o:lock v:ext="edit" aspectratio="f"/>
                <v:rect id="_x0000_s1026" o:spid="_x0000_s1026" o:spt="1" style="position:absolute;left:0;top:0;height:271800;width:713880;" fillcolor="#FDBC11" filled="t" stroked="f" coordsize="21600,21600" o:gfxdata="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7AjnvQAA&#10;ANoAAAAPAAAAAAAAAAEAIAAAACIAAABkcnMvZG93bnJldi54bWxQSwECFAAUAAAACACHTuJAMy8F&#10;njsAAAA5AAAAEAAAAAAAAAABACAAAAAMAQAAZHJzL3NoYXBleG1sLnhtbFBLBQYAAAAABgAGAFsB&#10;AAC2AwAAAAA=&#10;">
                  <v:fill on="t" focussize="0,0"/>
                  <v:stroke on="f" weight="1pt"/>
                  <v:imagedata o:title=""/>
                  <o:lock v:ext="edit" aspectratio="f"/>
                </v:rect>
                <v:rect id="_x0000_s1026" o:spid="_x0000_s1026" o:spt="1" style="position:absolute;left:714240;top:720;height:271800;width:6845400;" fillcolor="#1F2959" filled="t" stroked="f" coordsize="21600,21600" o:gfxdata="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H6gyr4A&#10;AADaAAAADwAAAAAAAAABACAAAAAiAAAAZHJzL2Rvd25yZXYueG1sUEsBAhQAFAAAAAgAh07iQDMv&#10;BZ47AAAAOQAAABAAAAAAAAAAAQAgAAAADQEAAGRycy9zaGFwZXhtbC54bWxQSwUGAAAAAAYABgBb&#10;AQAAtwMAAAAA&#10;">
                  <v:fill on="t" focussize="0,0"/>
                  <v:stroke on="f" weight="1pt"/>
                  <v:imagedata o:title=""/>
                  <o:lock v:ext="edit" aspectratio="f"/>
                </v:rect>
              </v:group>
            </w:pict>
          </mc:Fallback>
        </mc:AlternateContent>
      </w:r>
      <w:r>
        <mc:AlternateContent>
          <mc:Choice Requires="wps">
            <w:drawing>
              <wp:anchor distT="0" distB="0" distL="0" distR="0" simplePos="0" relativeHeight="251659264" behindDoc="0" locked="0" layoutInCell="0" allowOverlap="1">
                <wp:simplePos x="0" y="0"/>
                <wp:positionH relativeFrom="column">
                  <wp:posOffset>2346325</wp:posOffset>
                </wp:positionH>
                <wp:positionV relativeFrom="paragraph">
                  <wp:posOffset>3639820</wp:posOffset>
                </wp:positionV>
                <wp:extent cx="4314190" cy="268605"/>
                <wp:effectExtent l="0" t="0" r="0" b="0"/>
                <wp:wrapNone/>
                <wp:docPr id="8" name="矩形 11"/>
                <wp:cNvGraphicFramePr/>
                <a:graphic xmlns:a="http://schemas.openxmlformats.org/drawingml/2006/main">
                  <a:graphicData uri="http://schemas.microsoft.com/office/word/2010/wordprocessingShape">
                    <wps:wsp>
                      <wps:cNvSpPr/>
                      <wps:spPr>
                        <a:xfrm>
                          <a:off x="0" y="0"/>
                          <a:ext cx="4313520" cy="26784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11"/>
                            </w:pPr>
                          </w:p>
                        </w:txbxContent>
                      </wps:txbx>
                      <wps:bodyPr>
                        <a:spAutoFit/>
                      </wps:bodyPr>
                    </wps:wsp>
                  </a:graphicData>
                </a:graphic>
              </wp:anchor>
            </w:drawing>
          </mc:Choice>
          <mc:Fallback>
            <w:pict>
              <v:rect id="矩形 11" o:spid="_x0000_s1026" o:spt="1" style="position:absolute;left:0pt;margin-left:184.75pt;margin-top:286.6pt;height:21.15pt;width:339.7pt;z-index:251659264;mso-width-relative:page;mso-height-relative:page;" filled="f" stroked="f" coordsize="21600,21600" o:allowincell="f" o:gfxdata="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95B&#10;Lt0AAAAMAQAADwAAAAAAAAABACAAAAAiAAAAZHJzL2Rvd25yZXYueG1sUEsBAhQAFAAAAAgAh07i&#10;QBsmW8urAQAAVgMAAA4AAAAAAAAAAQAgAAAALAEAAGRycy9lMm9Eb2MueG1sUEsFBgAAAAAGAAYA&#10;WQEAAEkFAAAAAA==&#10;">
                <v:fill on="f" focussize="0,0"/>
                <v:stroke on="f" weight="0pt"/>
                <v:imagedata o:title=""/>
                <o:lock v:ext="edit" aspectratio="f"/>
                <v:textbox style="mso-fit-shape-to-text:t;">
                  <w:txbxContent>
                    <w:p>
                      <w:pPr>
                        <w:pStyle w:val="11"/>
                      </w:pPr>
                    </w:p>
                  </w:txbxContent>
                </v:textbox>
              </v:rect>
            </w:pict>
          </mc:Fallback>
        </mc:AlternateContent>
      </w:r>
      <w:r>
        <mc:AlternateContent>
          <mc:Choice Requires="wps">
            <w:drawing>
              <wp:anchor distT="0" distB="0" distL="0" distR="0" simplePos="0" relativeHeight="251659264" behindDoc="0" locked="0" layoutInCell="0" allowOverlap="1">
                <wp:simplePos x="0" y="0"/>
                <wp:positionH relativeFrom="column">
                  <wp:posOffset>1349375</wp:posOffset>
                </wp:positionH>
                <wp:positionV relativeFrom="paragraph">
                  <wp:posOffset>8808085</wp:posOffset>
                </wp:positionV>
                <wp:extent cx="5133340" cy="268605"/>
                <wp:effectExtent l="0" t="0" r="0" b="0"/>
                <wp:wrapNone/>
                <wp:docPr id="9" name="文本框 10"/>
                <wp:cNvGraphicFramePr/>
                <a:graphic xmlns:a="http://schemas.openxmlformats.org/drawingml/2006/main">
                  <a:graphicData uri="http://schemas.microsoft.com/office/word/2010/wordprocessingShape">
                    <wps:wsp>
                      <wps:cNvSpPr/>
                      <wps:spPr>
                        <a:xfrm>
                          <a:off x="0" y="0"/>
                          <a:ext cx="5132880" cy="26784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11"/>
                              <w:jc w:val="center"/>
                              <w:rPr>
                                <w:rFonts w:ascii="楷体_GB2312" w:hAnsi="楷体_GB2312" w:eastAsia="楷体_GB2312" w:cs="楷体_GB2312"/>
                                <w:color w:val="000000" w:themeColor="text1"/>
                                <w:kern w:val="0"/>
                                <w:sz w:val="44"/>
                                <w:szCs w:val="44"/>
                                <w14:textFill>
                                  <w14:solidFill>
                                    <w14:schemeClr w14:val="tx1"/>
                                  </w14:solidFill>
                                </w14:textFill>
                              </w:rPr>
                            </w:pPr>
                          </w:p>
                        </w:txbxContent>
                      </wps:txbx>
                      <wps:bodyPr>
                        <a:spAutoFit/>
                      </wps:bodyPr>
                    </wps:wsp>
                  </a:graphicData>
                </a:graphic>
              </wp:anchor>
            </w:drawing>
          </mc:Choice>
          <mc:Fallback>
            <w:pict>
              <v:rect id="文本框 10" o:spid="_x0000_s1026" o:spt="1" style="position:absolute;left:0pt;margin-left:106.25pt;margin-top:693.55pt;height:21.15pt;width:404.2pt;z-index:251659264;mso-width-relative:page;mso-height-relative:page;" filled="f" stroked="f" coordsize="21600,21600" o:allowincell="f" o:gfxdata="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6AOZN0AAAAOAQAADwAAAAAAAAABACAAAAAiAAAAZHJzL2Rvd25yZXYueG1sUEsBAhQAFAAAAAgA&#10;h07iQOVEgOGuAQAAWQMAAA4AAAAAAAAAAQAgAAAALAEAAGRycy9lMm9Eb2MueG1sUEsFBgAAAAAG&#10;AAYAWQEAAEwFAAAAAA==&#10;">
                <v:fill on="f" focussize="0,0"/>
                <v:stroke on="f" weight="0pt"/>
                <v:imagedata o:title=""/>
                <o:lock v:ext="edit" aspectratio="f"/>
                <v:textbox style="mso-fit-shape-to-text:t;">
                  <w:txbxContent>
                    <w:p>
                      <w:pPr>
                        <w:pStyle w:val="11"/>
                        <w:jc w:val="center"/>
                        <w:rPr>
                          <w:rFonts w:ascii="楷体_GB2312" w:hAnsi="楷体_GB2312" w:eastAsia="楷体_GB2312" w:cs="楷体_GB2312"/>
                          <w:color w:val="000000" w:themeColor="text1"/>
                          <w:kern w:val="0"/>
                          <w:sz w:val="44"/>
                          <w:szCs w:val="44"/>
                          <w14:textFill>
                            <w14:solidFill>
                              <w14:schemeClr w14:val="tx1"/>
                            </w14:solidFill>
                          </w14:textFill>
                        </w:rPr>
                      </w:pPr>
                    </w:p>
                  </w:txbxContent>
                </v:textbox>
              </v:rect>
            </w:pict>
          </mc:Fallback>
        </mc:AlternateContent>
      </w:r>
      <w:r>
        <mc:AlternateContent>
          <mc:Choice Requires="wps">
            <w:drawing>
              <wp:anchor distT="0" distB="0" distL="0" distR="0" simplePos="0" relativeHeight="251659264" behindDoc="0" locked="0" layoutInCell="0" allowOverlap="1">
                <wp:simplePos x="0" y="0"/>
                <wp:positionH relativeFrom="column">
                  <wp:posOffset>789940</wp:posOffset>
                </wp:positionH>
                <wp:positionV relativeFrom="paragraph">
                  <wp:posOffset>3082925</wp:posOffset>
                </wp:positionV>
                <wp:extent cx="1314450" cy="1314450"/>
                <wp:effectExtent l="0" t="0" r="635" b="635"/>
                <wp:wrapNone/>
                <wp:docPr id="10" name="椭圆 10"/>
                <wp:cNvGraphicFramePr/>
                <a:graphic xmlns:a="http://schemas.openxmlformats.org/drawingml/2006/main">
                  <a:graphicData uri="http://schemas.microsoft.com/office/word/2010/wordprocessingShape">
                    <wps:wsp>
                      <wps:cNvSpPr/>
                      <wps:spPr>
                        <a:xfrm>
                          <a:off x="0" y="0"/>
                          <a:ext cx="1313640" cy="1313640"/>
                        </a:xfrm>
                        <a:prstGeom prst="ellipse">
                          <a:avLst/>
                        </a:prstGeom>
                        <a:solidFill>
                          <a:srgbClr val="1F2959"/>
                        </a:solidFill>
                        <a:ln w="12700">
                          <a:noFill/>
                        </a:ln>
                      </wps:spPr>
                      <wps:style>
                        <a:lnRef idx="0">
                          <a:srgbClr val="FFFFFF"/>
                        </a:lnRef>
                        <a:fillRef idx="0">
                          <a:srgbClr val="FFFFFF"/>
                        </a:fillRef>
                        <a:effectRef idx="0">
                          <a:srgbClr val="FFFFFF"/>
                        </a:effectRef>
                        <a:fontRef idx="minor"/>
                      </wps:style>
                      <wps:txbx>
                        <w:txbxContent>
                          <w:p>
                            <w:pPr>
                              <w:pStyle w:val="11"/>
                            </w:pPr>
                          </w:p>
                        </w:txbxContent>
                      </wps:txbx>
                      <wps:bodyPr anchor="ctr">
                        <a:noAutofit/>
                      </wps:bodyPr>
                    </wps:wsp>
                  </a:graphicData>
                </a:graphic>
              </wp:anchor>
            </w:drawing>
          </mc:Choice>
          <mc:Fallback>
            <w:pict>
              <v:shape id="_x0000_s1026" o:spid="_x0000_s1026" o:spt="3" type="#_x0000_t3" style="position:absolute;left:0pt;margin-left:62.2pt;margin-top:242.75pt;height:103.5pt;width:103.5pt;z-index:251659264;v-text-anchor:middle;mso-width-relative:page;mso-height-relative:page;" fillcolor="#1F2959" filled="t" stroked="f" coordsize="21600,21600" o:allowincell="f" o:gfxdata="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&#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UAHBfaAAAACwEAAA8AAAAAAAAAAQAgAAAAIgAAAGRy&#10;cy9kb3ducmV2LnhtbFBLAQIUABQAAAAIAIdO4kDGZWhkygEAAJUDAAAOAAAAAAAAAAEAIAAAACkB&#10;AABkcnMvZTJvRG9jLnhtbFBLBQYAAAAABgAGAFkBAABlBQAAAAA=&#10;">
                <v:fill on="t" focussize="0,0"/>
                <v:stroke on="f" weight="1pt"/>
                <v:imagedata o:title=""/>
                <o:lock v:ext="edit" aspectratio="f"/>
                <v:textbox>
                  <w:txbxContent>
                    <w:p>
                      <w:pPr>
                        <w:pStyle w:val="11"/>
                      </w:pPr>
                    </w:p>
                  </w:txbxContent>
                </v:textbox>
              </v:shape>
            </w:pict>
          </mc:Fallback>
        </mc:AlternateContent>
      </w:r>
      <w:r>
        <mc:AlternateContent>
          <mc:Choice Requires="wps">
            <w:drawing>
              <wp:anchor distT="0" distB="0" distL="0" distR="0" simplePos="0" relativeHeight="251659264" behindDoc="0" locked="0" layoutInCell="0" allowOverlap="1">
                <wp:simplePos x="0" y="0"/>
                <wp:positionH relativeFrom="column">
                  <wp:posOffset>426720</wp:posOffset>
                </wp:positionH>
                <wp:positionV relativeFrom="paragraph">
                  <wp:posOffset>3260725</wp:posOffset>
                </wp:positionV>
                <wp:extent cx="2040890" cy="768985"/>
                <wp:effectExtent l="0" t="0" r="0" b="0"/>
                <wp:wrapNone/>
                <wp:docPr id="11" name="矩形 14"/>
                <wp:cNvGraphicFramePr/>
                <a:graphic xmlns:a="http://schemas.openxmlformats.org/drawingml/2006/main">
                  <a:graphicData uri="http://schemas.microsoft.com/office/word/2010/wordprocessingShape">
                    <wps:wsp>
                      <wps:cNvSpPr/>
                      <wps:spPr>
                        <a:xfrm>
                          <a:off x="0" y="0"/>
                          <a:ext cx="2040120" cy="76824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11"/>
                              <w:spacing w:line="360" w:lineRule="auto"/>
                              <w:jc w:val="center"/>
                              <w:rPr>
                                <w:rFonts w:eastAsia="宋体"/>
                                <w:kern w:val="0"/>
                                <w:sz w:val="28"/>
                                <w:szCs w:val="28"/>
                                <w:lang w:val="en-US" w:eastAsia="zh-CN"/>
                              </w:rPr>
                            </w:pPr>
                            <w:r>
                              <w:rPr>
                                <w:rFonts w:ascii="Yu Gothic UI Semibold" w:hAnsi="Yu Gothic UI Semibold" w:eastAsia="宋体"/>
                                <w:color w:val="FFFFFF" w:themeColor="background1"/>
                                <w:kern w:val="2"/>
                                <w:sz w:val="72"/>
                                <w:szCs w:val="72"/>
                                <w14:textFill>
                                  <w14:solidFill>
                                    <w14:schemeClr w14:val="bg1"/>
                                  </w14:solidFill>
                                </w14:textFill>
                              </w:rPr>
                              <w:t>201</w:t>
                            </w:r>
                            <w:r>
                              <w:rPr>
                                <w:rFonts w:ascii="Yu Gothic UI Semibold" w:hAnsi="Yu Gothic UI Semibold" w:eastAsia="宋体"/>
                                <w:color w:val="FFFFFF" w:themeColor="background1"/>
                                <w:kern w:val="2"/>
                                <w:sz w:val="72"/>
                                <w:szCs w:val="72"/>
                                <w:lang w:val="en-US" w:eastAsia="zh-CN"/>
                                <w14:textFill>
                                  <w14:solidFill>
                                    <w14:schemeClr w14:val="bg1"/>
                                  </w14:solidFill>
                                </w14:textFill>
                              </w:rPr>
                              <w:t>9</w:t>
                            </w:r>
                          </w:p>
                        </w:txbxContent>
                      </wps:txbx>
                      <wps:bodyPr>
                        <a:spAutoFit/>
                      </wps:bodyPr>
                    </wps:wsp>
                  </a:graphicData>
                </a:graphic>
              </wp:anchor>
            </w:drawing>
          </mc:Choice>
          <mc:Fallback>
            <w:pict>
              <v:rect id="矩形 14" o:spid="_x0000_s1026" o:spt="1" style="position:absolute;left:0pt;margin-left:33.6pt;margin-top:256.75pt;height:60.55pt;width:160.7pt;z-index:251659264;mso-width-relative:page;mso-height-relative:page;" filled="f" stroked="f" coordsize="21600,21600" o:allowincell="f" o:gfxdata="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YDpJ9sA&#10;AAAKAQAADwAAAAAAAAABACAAAAAiAAAAZHJzL2Rvd25yZXYueG1sUEsBAhQAFAAAAAgAh07iQGh2&#10;AYCqAQAAVwMAAA4AAAAAAAAAAQAgAAAAKgEAAGRycy9lMm9Eb2MueG1sUEsFBgAAAAAGAAYAWQEA&#10;AEYFAAAAAA==&#10;">
                <v:fill on="f" focussize="0,0"/>
                <v:stroke on="f" weight="0pt"/>
                <v:imagedata o:title=""/>
                <o:lock v:ext="edit" aspectratio="f"/>
                <v:textbox style="mso-fit-shape-to-text:t;">
                  <w:txbxContent>
                    <w:p>
                      <w:pPr>
                        <w:pStyle w:val="11"/>
                        <w:spacing w:line="360" w:lineRule="auto"/>
                        <w:jc w:val="center"/>
                        <w:rPr>
                          <w:rFonts w:eastAsia="宋体"/>
                          <w:kern w:val="0"/>
                          <w:sz w:val="28"/>
                          <w:szCs w:val="28"/>
                          <w:lang w:val="en-US" w:eastAsia="zh-CN"/>
                        </w:rPr>
                      </w:pPr>
                      <w:r>
                        <w:rPr>
                          <w:rFonts w:ascii="Yu Gothic UI Semibold" w:hAnsi="Yu Gothic UI Semibold" w:eastAsia="宋体"/>
                          <w:color w:val="FFFFFF" w:themeColor="background1"/>
                          <w:kern w:val="2"/>
                          <w:sz w:val="72"/>
                          <w:szCs w:val="72"/>
                          <w14:textFill>
                            <w14:solidFill>
                              <w14:schemeClr w14:val="bg1"/>
                            </w14:solidFill>
                          </w14:textFill>
                        </w:rPr>
                        <w:t>201</w:t>
                      </w:r>
                      <w:r>
                        <w:rPr>
                          <w:rFonts w:ascii="Yu Gothic UI Semibold" w:hAnsi="Yu Gothic UI Semibold" w:eastAsia="宋体"/>
                          <w:color w:val="FFFFFF" w:themeColor="background1"/>
                          <w:kern w:val="2"/>
                          <w:sz w:val="72"/>
                          <w:szCs w:val="72"/>
                          <w:lang w:val="en-US" w:eastAsia="zh-CN"/>
                          <w14:textFill>
                            <w14:solidFill>
                              <w14:schemeClr w14:val="bg1"/>
                            </w14:solidFill>
                          </w14:textFill>
                        </w:rPr>
                        <w:t>9</w:t>
                      </w:r>
                    </w:p>
                  </w:txbxContent>
                </v:textbox>
              </v:rect>
            </w:pict>
          </mc:Fallback>
        </mc:AlternateContent>
      </w:r>
    </w:p>
    <w:p>
      <w:pPr>
        <w:sectPr>
          <w:headerReference r:id="rId3" w:type="default"/>
          <w:pgSz w:w="11906" w:h="16838"/>
          <w:pgMar w:top="908" w:right="0" w:bottom="0" w:left="0" w:header="851" w:footer="0" w:gutter="0"/>
          <w:pgNumType w:fmt="decimal"/>
          <w:cols w:space="720" w:num="1"/>
          <w:formProt w:val="0"/>
          <w:titlePg/>
          <w:docGrid w:type="lines" w:linePitch="312" w:charSpace="43007"/>
        </w:sectPr>
      </w:pPr>
    </w:p>
    <w:p>
      <w:pPr>
        <w:pStyle w:val="6"/>
      </w:pPr>
    </w:p>
    <w:p>
      <w:pPr>
        <w:pStyle w:val="6"/>
        <w:jc w:val="center"/>
        <w:rPr>
          <w:rFonts w:ascii="黑体" w:hAnsi="黑体" w:eastAsia="黑体" w:cs="黑体"/>
          <w:sz w:val="56"/>
          <w:szCs w:val="72"/>
        </w:rPr>
      </w:pPr>
    </w:p>
    <w:p>
      <w:pPr>
        <w:pStyle w:val="6"/>
        <w:jc w:val="center"/>
        <w:rPr>
          <w:rFonts w:ascii="黑体" w:hAnsi="黑体" w:eastAsia="黑体" w:cs="黑体"/>
          <w:sz w:val="56"/>
          <w:szCs w:val="72"/>
        </w:rPr>
      </w:pPr>
    </w:p>
    <w:p>
      <w:pPr>
        <w:pStyle w:val="6"/>
        <w:rPr>
          <w:rFonts w:ascii="黑体" w:hAnsi="黑体" w:eastAsia="黑体" w:cs="Times New Roman"/>
          <w:sz w:val="48"/>
          <w:szCs w:val="48"/>
          <w:lang w:eastAsia="zh-CN"/>
        </w:rPr>
      </w:pPr>
    </w:p>
    <w:p>
      <w:pPr>
        <w:pStyle w:val="6"/>
        <w:tabs>
          <w:tab w:val="left" w:pos="2728"/>
        </w:tabs>
        <w:rPr>
          <w:rFonts w:ascii="黑体" w:hAnsi="黑体" w:eastAsia="黑体" w:cs="黑体"/>
          <w:b/>
          <w:bCs/>
          <w:sz w:val="72"/>
          <w:szCs w:val="96"/>
          <w:lang w:eastAsia="zh-CN"/>
        </w:rPr>
      </w:pPr>
      <w:r>
        <w:rPr>
          <w:rFonts w:ascii="黑体" w:hAnsi="黑体" w:eastAsia="黑体" w:cs="Times New Roman"/>
          <w:sz w:val="48"/>
          <w:szCs w:val="48"/>
        </w:rPr>
        <w:tab/>
      </w:r>
    </w:p>
    <w:p>
      <w:pPr>
        <w:pStyle w:val="6"/>
        <w:spacing w:line="360" w:lineRule="auto"/>
        <w:jc w:val="center"/>
        <w:rPr>
          <w:rFonts w:ascii="黑体" w:hAnsi="黑体" w:eastAsia="黑体" w:cs="黑体"/>
          <w:sz w:val="56"/>
          <w:szCs w:val="72"/>
        </w:rPr>
      </w:pPr>
    </w:p>
    <w:p>
      <w:pPr>
        <w:pStyle w:val="6"/>
        <w:spacing w:line="600" w:lineRule="auto"/>
        <w:ind w:firstLine="2168"/>
        <w:jc w:val="both"/>
        <w:rPr>
          <w:rFonts w:ascii="黑体" w:hAnsi="黑体" w:eastAsia="黑体" w:cs="黑体"/>
          <w:b/>
          <w:bCs/>
          <w:sz w:val="72"/>
          <w:szCs w:val="72"/>
          <w:lang w:val="en-US" w:eastAsia="zh-CN"/>
        </w:rPr>
      </w:pPr>
      <w:r>
        <w:rPr>
          <w:rFonts w:ascii="黑体" w:hAnsi="黑体" w:eastAsia="黑体" w:cs="黑体"/>
          <w:b/>
          <w:bCs/>
          <w:sz w:val="72"/>
          <w:szCs w:val="72"/>
          <w:lang w:val="en-US" w:eastAsia="zh-CN"/>
        </w:rPr>
        <w:t>年部门决算公开文本</w:t>
      </w:r>
    </w:p>
    <w:p>
      <w:pPr>
        <w:pStyle w:val="6"/>
        <w:spacing w:line="600" w:lineRule="auto"/>
        <w:jc w:val="center"/>
        <w:rPr>
          <w:rFonts w:ascii="黑体" w:hAnsi="黑体" w:eastAsia="黑体" w:cs="黑体"/>
          <w:sz w:val="56"/>
          <w:szCs w:val="72"/>
        </w:rPr>
      </w:pPr>
    </w:p>
    <w:p>
      <w:pPr>
        <w:pStyle w:val="6"/>
        <w:spacing w:line="600" w:lineRule="auto"/>
        <w:jc w:val="center"/>
        <w:rPr>
          <w:rFonts w:ascii="黑体" w:hAnsi="黑体" w:eastAsia="黑体" w:cs="黑体"/>
          <w:sz w:val="56"/>
          <w:szCs w:val="72"/>
        </w:rPr>
      </w:pPr>
    </w:p>
    <w:p>
      <w:pPr>
        <w:pStyle w:val="6"/>
        <w:spacing w:line="600" w:lineRule="auto"/>
        <w:jc w:val="center"/>
        <w:rPr>
          <w:rFonts w:ascii="黑体" w:hAnsi="黑体" w:eastAsia="黑体" w:cs="黑体"/>
          <w:sz w:val="56"/>
          <w:szCs w:val="72"/>
        </w:rPr>
      </w:pPr>
    </w:p>
    <w:p>
      <w:pPr>
        <w:pStyle w:val="6"/>
        <w:spacing w:line="480" w:lineRule="auto"/>
        <w:jc w:val="center"/>
        <w:rPr>
          <w:rFonts w:ascii="黑体" w:hAnsi="黑体" w:eastAsia="黑体" w:cs="黑体"/>
          <w:sz w:val="56"/>
          <w:szCs w:val="72"/>
        </w:rPr>
      </w:pPr>
    </w:p>
    <w:p>
      <w:pPr>
        <w:pStyle w:val="6"/>
        <w:spacing w:line="480" w:lineRule="auto"/>
        <w:jc w:val="center"/>
        <w:rPr>
          <w:rFonts w:ascii="黑体" w:hAnsi="黑体" w:eastAsia="黑体" w:cs="黑体"/>
          <w:sz w:val="56"/>
          <w:szCs w:val="72"/>
        </w:rPr>
      </w:pPr>
    </w:p>
    <w:p>
      <w:pPr>
        <w:pStyle w:val="6"/>
        <w:spacing w:line="480" w:lineRule="auto"/>
        <w:jc w:val="center"/>
        <w:rPr>
          <w:rFonts w:ascii="黑体" w:hAnsi="黑体" w:eastAsia="黑体" w:cs="黑体"/>
          <w:sz w:val="56"/>
          <w:szCs w:val="72"/>
        </w:rPr>
      </w:pPr>
    </w:p>
    <w:p>
      <w:pPr>
        <w:pStyle w:val="6"/>
        <w:snapToGrid w:val="0"/>
        <w:spacing w:line="480" w:lineRule="auto"/>
        <w:jc w:val="center"/>
        <w:rPr>
          <w:rFonts w:ascii="黑体" w:hAnsi="黑体" w:eastAsia="黑体" w:cs="黑体"/>
          <w:sz w:val="40"/>
          <w:szCs w:val="40"/>
          <w:lang w:eastAsia="zh-CN"/>
        </w:rPr>
      </w:pPr>
      <w:r>
        <w:rPr>
          <w:rFonts w:ascii="黑体" w:hAnsi="黑体" w:eastAsia="黑体" w:cs="黑体"/>
          <w:sz w:val="40"/>
          <w:szCs w:val="40"/>
          <w:lang w:eastAsia="zh-CN"/>
        </w:rPr>
        <w:t>承德市应急管理局</w:t>
      </w:r>
    </w:p>
    <w:p>
      <w:pPr>
        <w:pStyle w:val="6"/>
        <w:snapToGrid w:val="0"/>
        <w:spacing w:line="480" w:lineRule="auto"/>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ascii="楷体_GB2312" w:hAnsi="楷体_GB2312" w:eastAsia="楷体_GB2312" w:cs="楷体_GB2312"/>
          <w:color w:val="000000" w:themeColor="text1"/>
          <w:kern w:val="0"/>
          <w:sz w:val="44"/>
          <w:szCs w:val="44"/>
          <w14:textFill>
            <w14:solidFill>
              <w14:schemeClr w14:val="tx1"/>
            </w14:solidFill>
          </w14:textFill>
        </w:rPr>
        <w:t>二〇二〇年</w:t>
      </w:r>
      <w:r>
        <w:rPr>
          <w:rFonts w:ascii="楷体_GB2312" w:hAnsi="楷体_GB2312" w:eastAsia="楷体_GB2312" w:cs="楷体_GB2312"/>
          <w:color w:val="000000" w:themeColor="text1"/>
          <w:kern w:val="0"/>
          <w:sz w:val="44"/>
          <w:szCs w:val="44"/>
          <w:lang w:eastAsia="zh-CN"/>
          <w14:textFill>
            <w14:solidFill>
              <w14:schemeClr w14:val="tx1"/>
            </w14:solidFill>
          </w14:textFill>
        </w:rPr>
        <w:t>九</w:t>
      </w:r>
      <w:r>
        <w:rPr>
          <w:rFonts w:ascii="楷体_GB2312" w:hAnsi="楷体_GB2312" w:eastAsia="楷体_GB2312" w:cs="楷体_GB2312"/>
          <w:color w:val="000000" w:themeColor="text1"/>
          <w:kern w:val="0"/>
          <w:sz w:val="44"/>
          <w:szCs w:val="44"/>
          <w14:textFill>
            <w14:solidFill>
              <w14:schemeClr w14:val="tx1"/>
            </w14:solidFill>
          </w14:textFill>
        </w:rPr>
        <w:t>月</w:t>
      </w:r>
    </w:p>
    <w:p>
      <w:pPr>
        <w:sectPr>
          <w:type w:val="continuous"/>
          <w:pgSz w:w="11906" w:h="16838"/>
          <w:pgMar w:top="0" w:right="0" w:bottom="0" w:left="0" w:header="0" w:footer="0" w:gutter="0"/>
          <w:cols w:space="720" w:num="1"/>
          <w:formProt w:val="0"/>
          <w:docGrid w:type="lines" w:linePitch="312" w:charSpace="43007"/>
        </w:sectPr>
      </w:pPr>
    </w:p>
    <w:p>
      <w:pPr>
        <w:pStyle w:val="6"/>
        <w:widowControl/>
        <w:spacing w:line="600" w:lineRule="exact"/>
        <w:jc w:val="left"/>
        <w:rPr>
          <w:rFonts w:ascii="黑体" w:hAnsi="黑体" w:eastAsia="黑体" w:cs="黑体"/>
          <w:bCs/>
          <w:sz w:val="32"/>
          <w:szCs w:val="32"/>
          <w:highlight w:val="yellow"/>
        </w:rPr>
      </w:pPr>
    </w:p>
    <w:p>
      <w:pPr>
        <w:pStyle w:val="6"/>
        <w:widowControl/>
        <w:spacing w:line="600" w:lineRule="exact"/>
        <w:ind w:firstLine="640"/>
        <w:rPr>
          <w:rFonts w:ascii="楷体" w:hAnsi="楷体" w:eastAsia="楷体" w:cs="楷体"/>
          <w:sz w:val="32"/>
          <w:szCs w:val="32"/>
          <w:highlight w:val="yellow"/>
        </w:rPr>
      </w:pPr>
    </w:p>
    <w:p>
      <w:pPr>
        <w:pStyle w:val="6"/>
        <w:tabs>
          <w:tab w:val="left" w:pos="2728"/>
        </w:tabs>
        <w:jc w:val="center"/>
        <w:rPr>
          <w:rFonts w:ascii="黑体" w:hAnsi="黑体" w:eastAsia="黑体" w:cs="Times New Roman"/>
          <w:sz w:val="48"/>
          <w:szCs w:val="48"/>
        </w:rPr>
      </w:pPr>
    </w:p>
    <w:p>
      <w:pPr>
        <w:pStyle w:val="6"/>
        <w:tabs>
          <w:tab w:val="left" w:pos="2728"/>
        </w:tabs>
        <w:jc w:val="center"/>
        <w:rPr>
          <w:rFonts w:ascii="黑体" w:hAnsi="黑体" w:eastAsia="黑体" w:cs="Times New Roman"/>
          <w:sz w:val="48"/>
          <w:szCs w:val="48"/>
        </w:rPr>
      </w:pPr>
    </w:p>
    <w:p>
      <w:pPr>
        <w:pStyle w:val="6"/>
        <w:tabs>
          <w:tab w:val="left" w:pos="2728"/>
        </w:tabs>
        <w:jc w:val="center"/>
        <w:rPr>
          <w:rFonts w:ascii="黑体" w:hAnsi="黑体" w:eastAsia="黑体" w:cs="Times New Roman"/>
          <w:sz w:val="48"/>
          <w:szCs w:val="48"/>
        </w:rPr>
      </w:pPr>
      <w:r>
        <w:rPr>
          <w:rFonts w:ascii="黑体" w:hAnsi="黑体" w:eastAsia="黑体" w:cs="Times New Roman"/>
          <w:sz w:val="48"/>
          <w:szCs w:val="48"/>
        </w:rPr>
        <w:t>目</w:t>
      </w:r>
      <w:r>
        <w:rPr>
          <w:rFonts w:ascii="黑体" w:hAnsi="黑体" w:eastAsia="黑体" w:cs="Times New Roman"/>
          <w:sz w:val="48"/>
          <w:szCs w:val="48"/>
          <w:lang w:val="en-US" w:eastAsia="zh-CN"/>
        </w:rPr>
        <w:t xml:space="preserve">  </w:t>
      </w:r>
      <w:r>
        <w:rPr>
          <w:rFonts w:ascii="黑体" w:hAnsi="黑体" w:eastAsia="黑体" w:cs="Times New Roman"/>
          <w:sz w:val="48"/>
          <w:szCs w:val="48"/>
        </w:rPr>
        <w:t>录</w:t>
      </w:r>
    </w:p>
    <w:p>
      <w:pPr>
        <w:pStyle w:val="6"/>
        <w:widowControl/>
        <w:spacing w:before="0" w:after="160" w:line="580" w:lineRule="exact"/>
        <w:ind w:firstLine="640"/>
        <w:rPr>
          <w:rFonts w:ascii="Times New Roman" w:hAnsi="Times New Roman" w:eastAsia="黑体" w:cs="Times New Roman"/>
          <w:sz w:val="32"/>
          <w:szCs w:val="32"/>
        </w:rPr>
      </w:pPr>
    </w:p>
    <w:p>
      <w:pPr>
        <w:pStyle w:val="6"/>
        <w:widowControl/>
        <w:spacing w:before="0" w:after="160" w:line="580" w:lineRule="exact"/>
        <w:ind w:firstLine="64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pStyle w:val="6"/>
        <w:widowControl/>
        <w:spacing w:before="0" w:after="160" w:line="580" w:lineRule="exact"/>
        <w:ind w:firstLine="1273"/>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6"/>
        <w:widowControl/>
        <w:spacing w:before="0" w:after="160" w:line="580" w:lineRule="exact"/>
        <w:ind w:firstLine="1273"/>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w:t>
      </w:r>
    </w:p>
    <w:p>
      <w:pPr>
        <w:pStyle w:val="6"/>
        <w:widowControl/>
        <w:spacing w:before="0" w:after="160" w:line="58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第二部分   2019年部门决算情况说明</w:t>
      </w:r>
    </w:p>
    <w:p>
      <w:pPr>
        <w:pStyle w:val="6"/>
        <w:widowControl/>
        <w:spacing w:before="0" w:after="160" w:line="580" w:lineRule="exact"/>
        <w:ind w:left="64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pStyle w:val="6"/>
        <w:widowControl/>
        <w:spacing w:before="0" w:after="160" w:line="580" w:lineRule="exact"/>
        <w:ind w:left="64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pStyle w:val="6"/>
        <w:widowControl/>
        <w:spacing w:before="0" w:after="160" w:line="580" w:lineRule="exact"/>
        <w:ind w:left="64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pStyle w:val="6"/>
        <w:widowControl/>
        <w:spacing w:before="0" w:after="160" w:line="580" w:lineRule="exact"/>
        <w:ind w:left="64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pStyle w:val="6"/>
        <w:widowControl/>
        <w:spacing w:before="0" w:after="160" w:line="580" w:lineRule="exact"/>
        <w:ind w:left="64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五、一般公共预算“三公”经费支出决算情况说明</w:t>
      </w:r>
    </w:p>
    <w:p>
      <w:pPr>
        <w:pStyle w:val="6"/>
        <w:widowControl/>
        <w:spacing w:before="0" w:after="160" w:line="580" w:lineRule="exact"/>
        <w:ind w:left="64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六、预算绩效情况说明</w:t>
      </w:r>
    </w:p>
    <w:p>
      <w:pPr>
        <w:pStyle w:val="6"/>
        <w:widowControl/>
        <w:spacing w:before="0" w:after="160" w:line="580" w:lineRule="exact"/>
        <w:ind w:left="64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七、其他重要事项的说明</w:t>
      </w:r>
    </w:p>
    <w:p>
      <w:pPr>
        <w:pStyle w:val="6"/>
        <w:widowControl/>
        <w:spacing w:before="0" w:after="160" w:line="58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pStyle w:val="6"/>
        <w:widowControl/>
        <w:spacing w:before="0" w:after="160" w:line="580" w:lineRule="exact"/>
        <w:ind w:firstLine="640"/>
        <w:rPr>
          <w:rFonts w:ascii="Times New Roman" w:hAnsi="Times New Roman" w:eastAsia="仿宋_GB2312" w:cs="Times New Roman"/>
          <w:sz w:val="20"/>
          <w:szCs w:val="32"/>
        </w:rPr>
      </w:pPr>
      <w:r>
        <w:rPr>
          <w:rFonts w:ascii="Times New Roman" w:hAnsi="Times New Roman" w:eastAsia="黑体" w:cs="Times New Roman"/>
          <w:sz w:val="32"/>
          <w:szCs w:val="32"/>
        </w:rPr>
        <w:t>第四部分2019年度部门决算报表</w:t>
      </w:r>
    </w:p>
    <w:p>
      <w:pPr>
        <w:pStyle w:val="6"/>
        <w:widowControl/>
        <w:spacing w:before="0" w:after="160" w:line="580" w:lineRule="exact"/>
        <w:ind w:firstLine="640"/>
        <w:rPr>
          <w:rFonts w:ascii="Times New Roman" w:hAnsi="Times New Roman" w:eastAsia="黑体" w:cs="Times New Roman"/>
          <w:sz w:val="32"/>
          <w:szCs w:val="32"/>
        </w:rPr>
      </w:pPr>
    </w:p>
    <w:p>
      <w:pPr>
        <w:sectPr>
          <w:type w:val="continuous"/>
          <w:pgSz w:w="11906" w:h="16838"/>
          <w:pgMar w:top="908" w:right="0" w:bottom="0" w:left="0" w:header="851" w:footer="0" w:gutter="0"/>
          <w:cols w:space="720" w:num="1"/>
          <w:formProt w:val="0"/>
          <w:docGrid w:type="lines" w:linePitch="312" w:charSpace="43007"/>
        </w:sectPr>
      </w:pPr>
    </w:p>
    <w:p>
      <w:pPr>
        <w:pStyle w:val="6"/>
        <w:widowControl/>
        <w:spacing w:line="580" w:lineRule="exact"/>
        <w:ind w:firstLine="640"/>
        <w:rPr>
          <w:rFonts w:eastAsia="黑体"/>
          <w:sz w:val="32"/>
          <w:szCs w:val="32"/>
        </w:rPr>
      </w:pPr>
    </w:p>
    <w:p>
      <w:pPr>
        <w:pStyle w:val="6"/>
        <w:widowControl/>
        <w:spacing w:line="580" w:lineRule="exact"/>
        <w:ind w:firstLine="640"/>
        <w:rPr>
          <w:rFonts w:eastAsia="黑体"/>
          <w:sz w:val="32"/>
          <w:szCs w:val="32"/>
        </w:rPr>
      </w:pPr>
    </w:p>
    <w:p>
      <w:pPr>
        <w:pStyle w:val="6"/>
        <w:widowControl/>
        <w:spacing w:line="580" w:lineRule="exact"/>
        <w:ind w:firstLine="640"/>
        <w:rPr>
          <w:rFonts w:eastAsia="黑体"/>
          <w:sz w:val="32"/>
          <w:szCs w:val="32"/>
        </w:rPr>
      </w:pPr>
    </w:p>
    <w:p>
      <w:pPr>
        <w:pStyle w:val="6"/>
        <w:rPr>
          <w:rFonts w:ascii="Times New Roman" w:hAnsi="Times New Roman" w:eastAsia="黑体" w:cs="Times New Roman"/>
          <w:sz w:val="32"/>
          <w:szCs w:val="32"/>
        </w:rPr>
        <w:sectPr>
          <w:type w:val="continuous"/>
          <w:pgSz w:w="11906" w:h="16838"/>
          <w:pgMar w:top="908" w:right="0" w:bottom="0" w:left="0" w:header="851" w:footer="0" w:gutter="0"/>
          <w:cols w:space="720" w:num="1"/>
          <w:formProt w:val="0"/>
          <w:docGrid w:type="lines" w:linePitch="312" w:charSpace="43007"/>
        </w:sectPr>
      </w:pPr>
      <w:r>
        <mc:AlternateContent>
          <mc:Choice Requires="wps">
            <w:drawing>
              <wp:anchor distT="0" distB="0" distL="0" distR="0" simplePos="0" relativeHeight="251659264" behindDoc="0" locked="0" layoutInCell="0" allowOverlap="1">
                <wp:simplePos x="0" y="0"/>
                <wp:positionH relativeFrom="column">
                  <wp:posOffset>-1088390</wp:posOffset>
                </wp:positionH>
                <wp:positionV relativeFrom="paragraph">
                  <wp:posOffset>1024890</wp:posOffset>
                </wp:positionV>
                <wp:extent cx="7793990" cy="3342005"/>
                <wp:effectExtent l="6350" t="6350" r="10795" b="24130"/>
                <wp:wrapNone/>
                <wp:docPr id="19" name="文本框 17"/>
                <wp:cNvGraphicFramePr/>
                <a:graphic xmlns:a="http://schemas.openxmlformats.org/drawingml/2006/main">
                  <a:graphicData uri="http://schemas.microsoft.com/office/word/2010/wordprocessingShape">
                    <wps:wsp>
                      <wps:cNvSpPr/>
                      <wps:spPr>
                        <a:xfrm>
                          <a:off x="0" y="0"/>
                          <a:ext cx="7793280" cy="3341520"/>
                        </a:xfrm>
                        <a:prstGeom prst="rect">
                          <a:avLst/>
                        </a:prstGeom>
                        <a:pattFill prst="wdUpDiag">
                          <a:fgClr>
                            <a:srgbClr val="FFD966"/>
                          </a:fgClr>
                          <a:bgClr>
                            <a:srgbClr val="FFFFFF"/>
                          </a:bgClr>
                        </a:pattFill>
                        <a:ln w="12700">
                          <a:solidFill>
                            <a:srgbClr val="FFD966"/>
                          </a:solidFill>
                          <a:round/>
                        </a:ln>
                      </wps:spPr>
                      <wps:style>
                        <a:lnRef idx="0">
                          <a:srgbClr val="FFFFFF"/>
                        </a:lnRef>
                        <a:fillRef idx="0">
                          <a:srgbClr val="FFFFFF"/>
                        </a:fillRef>
                        <a:effectRef idx="0">
                          <a:srgbClr val="FFFFFF"/>
                        </a:effectRef>
                        <a:fontRef idx="minor"/>
                      </wps:style>
                      <wps:txbx>
                        <w:txbxContent>
                          <w:p>
                            <w:pPr>
                              <w:pStyle w:val="11"/>
                              <w:widowControl/>
                              <w:jc w:val="center"/>
                              <w:rPr>
                                <w:rFonts w:ascii="黑体" w:hAnsi="黑体" w:eastAsia="黑体" w:cs="黑体"/>
                                <w:color w:val="000000" w:themeColor="text1"/>
                                <w:sz w:val="96"/>
                                <w:szCs w:val="96"/>
                                <w14:textFill>
                                  <w14:solidFill>
                                    <w14:schemeClr w14:val="tx1"/>
                                  </w14:solidFill>
                                </w14:textFill>
                              </w:rPr>
                            </w:pPr>
                            <w:r>
                              <w:rPr>
                                <w:rFonts w:ascii="黑体" w:hAnsi="黑体" w:eastAsia="黑体" w:cs="黑体"/>
                                <w:color w:val="000000" w:themeColor="text1"/>
                                <w:sz w:val="96"/>
                                <w:szCs w:val="96"/>
                                <w14:textFill>
                                  <w14:solidFill>
                                    <w14:schemeClr w14:val="tx1"/>
                                  </w14:solidFill>
                                </w14:textFill>
                              </w:rPr>
                              <w:t>第一部分  部门概况</w:t>
                            </w:r>
                          </w:p>
                        </w:txbxContent>
                      </wps:txbx>
                      <wps:bodyPr anchor="ctr">
                        <a:noAutofit/>
                      </wps:bodyPr>
                    </wps:wsp>
                  </a:graphicData>
                </a:graphic>
              </wp:anchor>
            </w:drawing>
          </mc:Choice>
          <mc:Fallback>
            <w:pict>
              <v:rect id="文本框 17" o:spid="_x0000_s1026" o:spt="1" style="position:absolute;left:0pt;margin-left:-85.7pt;margin-top:80.7pt;height:263.15pt;width:613.7pt;z-index:251659264;v-text-anchor:middle;mso-width-relative:page;mso-height-relative:page;" fillcolor="#FFD966" filled="t" stroked="t" coordsize="21600,21600" o:allowincell="f" o:gfxdata="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edq42wAAAA0BAAAPAAAAAAAAAAEAIAAAACIAAABkcnMvZG93&#10;bnJldi54bWxQSwECFAAUAAAACACHTuJA+fABMf0BAAAVBAAADgAAAAAAAAABACAAAAAqAQAAZHJz&#10;L2Uyb0RvYy54bWxQSwUGAAAAAAYABgBZAQAAmQUAAAAA&#10;">
                <v:fill type="pattern" on="t" color2="#FFFFFF" o:title="宽上对角线" focussize="0,0" r:id="rId15"/>
                <v:stroke weight="1pt" color="#FFD966" joinstyle="round"/>
                <v:imagedata o:title=""/>
                <o:lock v:ext="edit" aspectratio="f"/>
                <v:textbox>
                  <w:txbxContent>
                    <w:p>
                      <w:pPr>
                        <w:pStyle w:val="11"/>
                        <w:widowControl/>
                        <w:jc w:val="center"/>
                        <w:rPr>
                          <w:rFonts w:ascii="黑体" w:hAnsi="黑体" w:eastAsia="黑体" w:cs="黑体"/>
                          <w:color w:val="000000" w:themeColor="text1"/>
                          <w:sz w:val="96"/>
                          <w:szCs w:val="96"/>
                          <w14:textFill>
                            <w14:solidFill>
                              <w14:schemeClr w14:val="tx1"/>
                            </w14:solidFill>
                          </w14:textFill>
                        </w:rPr>
                      </w:pPr>
                      <w:r>
                        <w:rPr>
                          <w:rFonts w:ascii="黑体" w:hAnsi="黑体" w:eastAsia="黑体" w:cs="黑体"/>
                          <w:color w:val="000000" w:themeColor="text1"/>
                          <w:sz w:val="96"/>
                          <w:szCs w:val="96"/>
                          <w14:textFill>
                            <w14:solidFill>
                              <w14:schemeClr w14:val="tx1"/>
                            </w14:solidFill>
                          </w14:textFill>
                        </w:rPr>
                        <w:t>第一部分  部门概况</w:t>
                      </w:r>
                    </w:p>
                  </w:txbxContent>
                </v:textbox>
              </v:rect>
            </w:pict>
          </mc:Fallback>
        </mc:AlternateContent>
      </w:r>
    </w:p>
    <w:p>
      <w:pPr>
        <w:pStyle w:val="7"/>
        <w:spacing w:before="0" w:after="0" w:line="600" w:lineRule="exact"/>
        <w:jc w:val="left"/>
        <w:rPr>
          <w:rFonts w:ascii="黑体" w:hAnsi="黑体" w:eastAsia="黑体" w:cs="黑体"/>
          <w:b w:val="0"/>
          <w:bCs w:val="0"/>
          <w:kern w:val="0"/>
          <w:sz w:val="32"/>
          <w:szCs w:val="32"/>
        </w:rPr>
      </w:pPr>
      <w:r>
        <mc:AlternateContent>
          <mc:Choice Requires="wpg">
            <w:drawing>
              <wp:anchor distT="0" distB="0" distL="0" distR="0" simplePos="0" relativeHeight="251659264" behindDoc="0" locked="0" layoutInCell="0" allowOverlap="1">
                <wp:simplePos x="0" y="0"/>
                <wp:positionH relativeFrom="column">
                  <wp:posOffset>-4597400</wp:posOffset>
                </wp:positionH>
                <wp:positionV relativeFrom="page">
                  <wp:posOffset>95250</wp:posOffset>
                </wp:positionV>
                <wp:extent cx="3115310" cy="593725"/>
                <wp:effectExtent l="3175" t="0" r="6350" b="16510"/>
                <wp:wrapNone/>
                <wp:docPr id="20" name="组合 59"/>
                <wp:cNvGraphicFramePr/>
                <a:graphic xmlns:a="http://schemas.openxmlformats.org/drawingml/2006/main">
                  <a:graphicData uri="http://schemas.microsoft.com/office/word/2010/wordprocessingGroup">
                    <wpg:wgp>
                      <wpg:cNvGrpSpPr/>
                      <wpg:grpSpPr>
                        <a:xfrm>
                          <a:off x="0" y="0"/>
                          <a:ext cx="3114720" cy="592920"/>
                          <a:chOff x="0" y="0"/>
                          <a:chExt cx="3114720" cy="592920"/>
                        </a:xfrm>
                      </wpg:grpSpPr>
                      <wps:wsp>
                        <wps:cNvPr id="21" name="矩形 21"/>
                        <wps:cNvSpPr/>
                        <wps:spPr>
                          <a:xfrm>
                            <a:off x="0" y="0"/>
                            <a:ext cx="3114720" cy="498600"/>
                          </a:xfrm>
                          <a:prstGeom prst="rect">
                            <a:avLst/>
                          </a:prstGeom>
                          <a:solidFill>
                            <a:srgbClr val="B8B8B8"/>
                          </a:solidFill>
                          <a:ln w="25400">
                            <a:noFill/>
                          </a:ln>
                        </wps:spPr>
                        <wps:style>
                          <a:lnRef idx="0">
                            <a:srgbClr val="FFFFFF"/>
                          </a:lnRef>
                          <a:fillRef idx="0">
                            <a:srgbClr val="FFFFFF"/>
                          </a:fillRef>
                          <a:effectRef idx="0">
                            <a:srgbClr val="FFFFFF"/>
                          </a:effectRef>
                          <a:fontRef idx="minor"/>
                        </wps:style>
                        <wps:bodyPr/>
                      </wps:wsp>
                      <wps:wsp>
                        <wps:cNvPr id="22" name="矩形 22"/>
                        <wps:cNvSpPr/>
                        <wps:spPr>
                          <a:xfrm>
                            <a:off x="9360" y="117000"/>
                            <a:ext cx="3034080" cy="476280"/>
                          </a:xfrm>
                          <a:prstGeom prst="rect">
                            <a:avLst/>
                          </a:prstGeom>
                          <a:solidFill>
                            <a:srgbClr val="AD002D"/>
                          </a:solidFill>
                          <a:ln w="25400">
                            <a:solidFill>
                              <a:srgbClr val="825716"/>
                            </a:solidFill>
                            <a:round/>
                          </a:ln>
                        </wps:spPr>
                        <wps:style>
                          <a:lnRef idx="0">
                            <a:srgbClr val="FFFFFF"/>
                          </a:lnRef>
                          <a:fillRef idx="0">
                            <a:srgbClr val="FFFFFF"/>
                          </a:fillRef>
                          <a:effectRef idx="0">
                            <a:srgbClr val="FFFFFF"/>
                          </a:effectRef>
                          <a:fontRef idx="minor"/>
                        </wps:style>
                        <wps:bodyPr/>
                      </wps:wsp>
                    </wpg:wgp>
                  </a:graphicData>
                </a:graphic>
              </wp:anchor>
            </w:drawing>
          </mc:Choice>
          <mc:Fallback>
            <w:pict>
              <v:group id="组合 59" o:spid="_x0000_s1026" o:spt="203" style="position:absolute;left:0pt;margin-left:-362pt;margin-top:7.5pt;height:46.75pt;width:245.3pt;mso-position-vertical-relative:page;z-index:251659264;mso-width-relative:page;mso-height-relative:page;" coordsize="3114720,592920" o:allowincell="f" o:gfxdata="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g1nAdwAAAAMAQAADwAAAAAAAAABACAAAAAiAAAAZHJzL2Rvd25yZXYueG1sUEsBAhQAFAAAAAgA&#10;h07iQNmbJctaAgAATAYAAA4AAAAAAAAAAQAgAAAAKwEAAGRycy9lMm9Eb2MueG1sUEsFBgAAAAAG&#10;AAYAWQEAAPcFAAAAAA==&#10;">
                <o:lock v:ext="edit" aspectratio="f"/>
                <v:rect id="_x0000_s1026" o:spid="_x0000_s1026" o:spt="1" style="position:absolute;left:0;top:0;height:498600;width:3114720;" fillcolor="#B8B8B8" filled="t" stroked="f" coordsize="21600,21600" o:gfxdata="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4RLme8AAAA&#10;2wAAAA8AAAAAAAAAAQAgAAAAIgAAAGRycy9kb3ducmV2LnhtbFBLAQIUABQAAAAIAIdO4kAzLwWe&#10;OwAAADkAAAAQAAAAAAAAAAEAIAAAAAsBAABkcnMvc2hhcGV4bWwueG1sUEsFBgAAAAAGAAYAWwEA&#10;ALUDAAAAAA==&#10;">
                  <v:fill on="t" focussize="0,0"/>
                  <v:stroke on="f" weight="2pt"/>
                  <v:imagedata o:title=""/>
                  <o:lock v:ext="edit" aspectratio="f"/>
                </v:rect>
                <v:rect id="_x0000_s1026" o:spid="_x0000_s1026" o:spt="1" style="position:absolute;left:9360;top:117000;height:476280;width:3034080;" fillcolor="#AD002D" filled="t" stroked="t" coordsize="21600,21600" o:gfxdata="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r5vivQAA&#10;ANsAAAAPAAAAAAAAAAEAIAAAACIAAABkcnMvZG93bnJldi54bWxQSwECFAAUAAAACACHTuJAMy8F&#10;njsAAAA5AAAAEAAAAAAAAAABACAAAAAMAQAAZHJzL3NoYXBleG1sLnhtbFBLBQYAAAAABgAGAFsB&#10;AAC2AwAAAAA=&#10;">
                  <v:fill on="t" focussize="0,0"/>
                  <v:stroke weight="2pt" color="#825716" joinstyle="round"/>
                  <v:imagedata o:title=""/>
                  <o:lock v:ext="edit" aspectratio="f"/>
                </v:rect>
              </v:group>
            </w:pict>
          </mc:Fallback>
        </mc:AlternateContent>
      </w:r>
      <w:r>
        <w:rPr>
          <w:rFonts w:ascii="黑体" w:hAnsi="黑体" w:eastAsia="黑体" w:cs="黑体"/>
          <w:b w:val="0"/>
          <w:bCs w:val="0"/>
          <w:kern w:val="0"/>
          <w:sz w:val="32"/>
          <w:szCs w:val="32"/>
        </w:rPr>
        <w:t>一、部门职责</w:t>
      </w:r>
    </w:p>
    <w:p>
      <w:pPr>
        <w:pStyle w:val="6"/>
        <w:spacing w:line="580" w:lineRule="exact"/>
        <w:ind w:firstLine="640"/>
        <w:rPr>
          <w:rFonts w:ascii="仿宋" w:hAnsi="仿宋" w:eastAsia="仿宋" w:cs="仿宋"/>
          <w:sz w:val="32"/>
          <w:szCs w:val="32"/>
        </w:rPr>
      </w:pPr>
      <w:r>
        <w:rPr>
          <w:rFonts w:ascii="仿宋" w:hAnsi="仿宋" w:eastAsia="仿宋" w:cs="仿宋"/>
          <w:sz w:val="32"/>
          <w:szCs w:val="32"/>
        </w:rPr>
        <w:t>1、负责应急管理工作，指导各级各部门应对安全生产类、自然灾害类等突发事件和综合防灾减灾救灾工作。负责安全生产综合监督管理和工矿商贸行业安全生产监督管理工作。</w:t>
      </w:r>
    </w:p>
    <w:p>
      <w:pPr>
        <w:pStyle w:val="6"/>
        <w:spacing w:line="580" w:lineRule="exact"/>
        <w:ind w:firstLine="640"/>
        <w:rPr>
          <w:rFonts w:ascii="仿宋" w:hAnsi="仿宋" w:eastAsia="仿宋" w:cs="仿宋"/>
          <w:sz w:val="32"/>
          <w:szCs w:val="32"/>
        </w:rPr>
      </w:pPr>
      <w:r>
        <w:rPr>
          <w:rFonts w:ascii="仿宋" w:hAnsi="仿宋" w:eastAsia="仿宋" w:cs="仿宋"/>
          <w:sz w:val="32"/>
          <w:szCs w:val="32"/>
        </w:rPr>
        <w:t>2、拟订应急管理、安全生产等政策规定，组织编制市应急体系建设、安全生产和综合防灾减灾规划，组织制定相关规程和标准并监督实施。</w:t>
      </w:r>
    </w:p>
    <w:p>
      <w:pPr>
        <w:pStyle w:val="6"/>
        <w:spacing w:line="580" w:lineRule="exact"/>
        <w:ind w:firstLine="640"/>
        <w:rPr>
          <w:rFonts w:ascii="仿宋" w:hAnsi="仿宋" w:eastAsia="仿宋" w:cs="仿宋"/>
          <w:sz w:val="32"/>
          <w:szCs w:val="32"/>
        </w:rPr>
      </w:pPr>
      <w:r>
        <w:rPr>
          <w:rFonts w:ascii="仿宋" w:hAnsi="仿宋" w:eastAsia="仿宋" w:cs="仿宋"/>
          <w:sz w:val="32"/>
          <w:szCs w:val="32"/>
        </w:rPr>
        <w:t>3、指导应急预案体系建设，建立完善事故灾难和自然灾害分级应对制度，组织编制市总体应急预案和安全生产类、自然灾害类专项预案，综合协调应急预案衔接工作，组织开展预案演练，推动应急避难设施建设。</w:t>
      </w:r>
    </w:p>
    <w:p>
      <w:pPr>
        <w:pStyle w:val="6"/>
        <w:spacing w:line="580" w:lineRule="exact"/>
        <w:ind w:firstLine="640"/>
        <w:rPr>
          <w:rFonts w:ascii="仿宋" w:hAnsi="仿宋" w:eastAsia="仿宋" w:cs="仿宋"/>
          <w:sz w:val="32"/>
          <w:szCs w:val="32"/>
        </w:rPr>
      </w:pPr>
      <w:r>
        <w:rPr>
          <w:rFonts w:ascii="仿宋" w:hAnsi="仿宋" w:eastAsia="仿宋" w:cs="仿宋"/>
          <w:sz w:val="32"/>
          <w:szCs w:val="32"/>
        </w:rPr>
        <w:t>4、牵头建立统一的全市应急管理信息系统，负责信息传输渠道的规划和布局，建立监测预警和灾情报告制度，健全自然灾害信息资源获取和共享机制，依法统一发布灾情。</w:t>
      </w:r>
    </w:p>
    <w:p>
      <w:pPr>
        <w:pStyle w:val="6"/>
        <w:spacing w:line="580" w:lineRule="exact"/>
        <w:ind w:firstLine="640"/>
        <w:rPr>
          <w:rFonts w:ascii="仿宋" w:hAnsi="仿宋" w:eastAsia="仿宋" w:cs="仿宋"/>
          <w:sz w:val="32"/>
          <w:szCs w:val="32"/>
        </w:rPr>
      </w:pPr>
      <w:r>
        <w:rPr>
          <w:rFonts w:ascii="仿宋" w:hAnsi="仿宋" w:eastAsia="仿宋" w:cs="仿宋"/>
          <w:sz w:val="32"/>
          <w:szCs w:val="32"/>
        </w:rPr>
        <w:t>5、组织指导协调安全生产类、自然灾害类等突发事件应急救援，承担市应对较大灾害指挥部工作，综合研判突发事件发展态势并提出应对建议，协助市委、市政府指定的负责同志组织较大灾害应急处置工作。</w:t>
      </w:r>
    </w:p>
    <w:p>
      <w:pPr>
        <w:pStyle w:val="6"/>
        <w:spacing w:line="580" w:lineRule="exact"/>
        <w:ind w:firstLine="640"/>
        <w:rPr>
          <w:rFonts w:ascii="仿宋" w:hAnsi="仿宋" w:eastAsia="仿宋" w:cs="仿宋"/>
          <w:sz w:val="32"/>
          <w:szCs w:val="32"/>
        </w:rPr>
      </w:pPr>
      <w:r>
        <w:rPr>
          <w:rFonts w:ascii="仿宋" w:hAnsi="仿宋" w:eastAsia="仿宋" w:cs="仿宋"/>
          <w:sz w:val="32"/>
          <w:szCs w:val="32"/>
        </w:rPr>
        <w:t>6、统一协调指挥各类应急专业队伍，建立应急协调联动机制，推进指挥平台对接，衔接解放军和武警部队参与应急救援工作。</w:t>
      </w:r>
    </w:p>
    <w:p>
      <w:pPr>
        <w:pStyle w:val="6"/>
        <w:spacing w:line="580" w:lineRule="exact"/>
        <w:ind w:firstLine="640"/>
        <w:rPr>
          <w:rFonts w:ascii="仿宋" w:hAnsi="仿宋" w:eastAsia="仿宋" w:cs="仿宋"/>
          <w:sz w:val="32"/>
          <w:szCs w:val="32"/>
        </w:rPr>
      </w:pPr>
      <w:r>
        <w:rPr>
          <w:rFonts w:ascii="仿宋" w:hAnsi="仿宋" w:eastAsia="仿宋" w:cs="仿宋"/>
          <w:sz w:val="32"/>
          <w:szCs w:val="32"/>
        </w:rPr>
        <w:t>7、统筹应急救援力量建设，负责消防、森林和草原火灾扑救、抗洪抢险、地震和地质灾害救援、生产安全事故救援等专业应急救援力量建设，管理市综合性应急救援队伍，指导各级及社会应急救援力量建设。</w:t>
      </w:r>
    </w:p>
    <w:p>
      <w:pPr>
        <w:pStyle w:val="6"/>
        <w:spacing w:line="580" w:lineRule="exact"/>
        <w:ind w:firstLine="640"/>
        <w:rPr>
          <w:rFonts w:ascii="仿宋" w:hAnsi="仿宋" w:eastAsia="仿宋" w:cs="仿宋"/>
          <w:sz w:val="32"/>
          <w:szCs w:val="32"/>
        </w:rPr>
      </w:pPr>
      <w:r>
        <w:rPr>
          <w:rFonts w:ascii="仿宋" w:hAnsi="仿宋" w:eastAsia="仿宋" w:cs="仿宋"/>
          <w:sz w:val="32"/>
          <w:szCs w:val="32"/>
        </w:rPr>
        <w:t>8、组织协调消防工作，指导各级消防监督、火灾预防、火灾扑救等工作。</w:t>
      </w:r>
    </w:p>
    <w:p>
      <w:pPr>
        <w:pStyle w:val="6"/>
        <w:spacing w:line="580" w:lineRule="exact"/>
        <w:ind w:firstLine="640"/>
        <w:rPr>
          <w:rFonts w:ascii="仿宋" w:hAnsi="仿宋" w:eastAsia="仿宋" w:cs="仿宋"/>
          <w:sz w:val="32"/>
          <w:szCs w:val="32"/>
        </w:rPr>
      </w:pPr>
      <w:r>
        <w:rPr>
          <w:rFonts w:ascii="仿宋" w:hAnsi="仿宋" w:eastAsia="仿宋" w:cs="仿宋"/>
          <w:sz w:val="32"/>
          <w:szCs w:val="32"/>
        </w:rPr>
        <w:t>9、指导协调森林和草原火灾、水旱灾害、地震和地质灾害等防治工作，负责自然灾害综合监测预警工作，指导开展自然灾害综合风险评估工作。</w:t>
      </w:r>
    </w:p>
    <w:p>
      <w:pPr>
        <w:pStyle w:val="6"/>
        <w:spacing w:line="580" w:lineRule="exact"/>
        <w:ind w:firstLine="640"/>
        <w:rPr>
          <w:rFonts w:ascii="仿宋" w:hAnsi="仿宋" w:eastAsia="仿宋" w:cs="仿宋"/>
          <w:sz w:val="32"/>
          <w:szCs w:val="32"/>
        </w:rPr>
      </w:pPr>
      <w:r>
        <w:rPr>
          <w:rFonts w:ascii="仿宋" w:hAnsi="仿宋" w:eastAsia="仿宋" w:cs="仿宋"/>
          <w:sz w:val="32"/>
          <w:szCs w:val="32"/>
        </w:rPr>
        <w:t>10、组织协调灾害救助工作，组织指导灾情核查、损失评估、救灾捐赠工作，管理、分配市救灾款物并监督使用。</w:t>
      </w:r>
    </w:p>
    <w:p>
      <w:pPr>
        <w:pStyle w:val="6"/>
        <w:spacing w:line="580" w:lineRule="exact"/>
        <w:ind w:firstLine="640"/>
        <w:rPr>
          <w:rFonts w:ascii="仿宋" w:hAnsi="仿宋" w:eastAsia="仿宋" w:cs="仿宋"/>
          <w:sz w:val="32"/>
          <w:szCs w:val="32"/>
        </w:rPr>
      </w:pPr>
      <w:r>
        <w:rPr>
          <w:rFonts w:ascii="仿宋" w:hAnsi="仿宋" w:eastAsia="仿宋" w:cs="仿宋"/>
          <w:sz w:val="32"/>
          <w:szCs w:val="32"/>
        </w:rPr>
        <w:t>11、依法行使市安全生产综合监督管理职权，指导协调、监督检查市有关部门和各县（市、区）政府及承德高新区管委会安全生产工作，组织开展安全生产巡查、考核工作。</w:t>
      </w:r>
    </w:p>
    <w:p>
      <w:pPr>
        <w:pStyle w:val="6"/>
        <w:spacing w:line="580" w:lineRule="exact"/>
        <w:ind w:firstLine="640"/>
        <w:rPr>
          <w:rFonts w:ascii="仿宋" w:hAnsi="仿宋" w:eastAsia="仿宋" w:cs="仿宋"/>
          <w:sz w:val="32"/>
          <w:szCs w:val="32"/>
        </w:rPr>
      </w:pPr>
      <w:r>
        <w:rPr>
          <w:rFonts w:ascii="仿宋" w:hAnsi="仿宋" w:eastAsia="仿宋" w:cs="仿宋"/>
          <w:sz w:val="32"/>
          <w:szCs w:val="32"/>
        </w:rPr>
        <w:t>12、按照分级、属地原则，依法监督检查工矿商贸生产经营单位贯彻执行安全生产法律法规情况，及其安全生产条件和有关设备（特种设备除外）、材料、劳动防护用品的安全生产管理工作。负责监督管理工矿商贸行业市属企业和驻承中央、省属企业的安全生产工作。依法组织并指导监督实施安全生产准入制度。负责危险化学品安全监督管理综合工作和烟花爆竹安全生产监督管理工作。</w:t>
      </w:r>
    </w:p>
    <w:p>
      <w:pPr>
        <w:pStyle w:val="6"/>
        <w:spacing w:line="580" w:lineRule="exact"/>
        <w:ind w:firstLine="640"/>
        <w:rPr>
          <w:rFonts w:ascii="仿宋" w:hAnsi="仿宋" w:eastAsia="仿宋" w:cs="仿宋"/>
          <w:sz w:val="32"/>
          <w:szCs w:val="32"/>
        </w:rPr>
      </w:pPr>
      <w:r>
        <w:rPr>
          <w:rFonts w:ascii="仿宋" w:hAnsi="仿宋" w:eastAsia="仿宋" w:cs="仿宋"/>
          <w:sz w:val="32"/>
          <w:szCs w:val="32"/>
        </w:rPr>
        <w:t>13、依法组织指导生产安全事故调查处理，监督事故查处和责任追究落实情况。组织开展自然灾害类突发事件的调查评估工作。</w:t>
      </w:r>
    </w:p>
    <w:p>
      <w:pPr>
        <w:pStyle w:val="6"/>
        <w:spacing w:line="580" w:lineRule="exact"/>
        <w:ind w:firstLine="640"/>
        <w:rPr>
          <w:rFonts w:ascii="仿宋" w:hAnsi="仿宋" w:eastAsia="仿宋" w:cs="仿宋"/>
          <w:sz w:val="32"/>
          <w:szCs w:val="32"/>
        </w:rPr>
      </w:pPr>
      <w:r>
        <w:rPr>
          <w:rFonts w:ascii="仿宋" w:hAnsi="仿宋" w:eastAsia="仿宋" w:cs="仿宋"/>
          <w:sz w:val="32"/>
          <w:szCs w:val="32"/>
        </w:rPr>
        <w:t>14、制定应急物资储备和应急救援装备规划并组织实施，会同市粮食和物资储备局等部门建立健全应急物资信息平台和调拨制度，在救灾时统一调度。</w:t>
      </w:r>
    </w:p>
    <w:p>
      <w:pPr>
        <w:pStyle w:val="6"/>
        <w:spacing w:line="580" w:lineRule="exact"/>
        <w:ind w:firstLine="640"/>
        <w:rPr>
          <w:rFonts w:ascii="仿宋" w:hAnsi="仿宋" w:eastAsia="仿宋" w:cs="仿宋"/>
          <w:sz w:val="32"/>
          <w:szCs w:val="32"/>
        </w:rPr>
      </w:pPr>
      <w:r>
        <w:rPr>
          <w:rFonts w:ascii="仿宋" w:hAnsi="仿宋" w:eastAsia="仿宋" w:cs="仿宋"/>
          <w:sz w:val="32"/>
          <w:szCs w:val="32"/>
        </w:rPr>
        <w:t>15、负责应急管理、安全生产宣传教育和培训工作，组织指导应急管理、安全生产的科学技术研究、推广应用和信息化建设工作。</w:t>
      </w:r>
    </w:p>
    <w:p>
      <w:pPr>
        <w:pStyle w:val="6"/>
        <w:spacing w:line="580" w:lineRule="exact"/>
        <w:ind w:firstLine="640"/>
        <w:rPr>
          <w:rFonts w:ascii="仿宋" w:hAnsi="仿宋" w:eastAsia="仿宋" w:cs="仿宋"/>
          <w:sz w:val="32"/>
          <w:szCs w:val="32"/>
        </w:rPr>
      </w:pPr>
      <w:r>
        <w:rPr>
          <w:rFonts w:ascii="仿宋" w:hAnsi="仿宋" w:eastAsia="仿宋" w:cs="仿宋"/>
          <w:sz w:val="32"/>
          <w:szCs w:val="32"/>
        </w:rPr>
        <w:t>16、承担全市煤矿安全、煤炭生产监管责任，组织开展对煤矿企业执法检查。</w:t>
      </w:r>
    </w:p>
    <w:p>
      <w:pPr>
        <w:pStyle w:val="6"/>
        <w:spacing w:line="580" w:lineRule="exact"/>
        <w:ind w:firstLine="640"/>
        <w:rPr>
          <w:rFonts w:ascii="仿宋" w:hAnsi="仿宋" w:eastAsia="仿宋" w:cs="仿宋"/>
          <w:sz w:val="32"/>
          <w:szCs w:val="32"/>
        </w:rPr>
      </w:pPr>
      <w:r>
        <w:rPr>
          <w:rFonts w:ascii="仿宋" w:hAnsi="仿宋" w:eastAsia="仿宋" w:cs="仿宋"/>
          <w:sz w:val="32"/>
          <w:szCs w:val="32"/>
        </w:rPr>
        <w:t>17、负责组织指导协调和监督全市安全生产行政执法工作，组织开展对市属企业及驻承中央企业和省属企业的执法检查，组织开展对安全生产重点企业的执法检查。</w:t>
      </w:r>
    </w:p>
    <w:p>
      <w:pPr>
        <w:pStyle w:val="6"/>
        <w:spacing w:line="580" w:lineRule="exact"/>
        <w:ind w:firstLine="640"/>
        <w:rPr>
          <w:rFonts w:ascii="仿宋" w:hAnsi="仿宋" w:eastAsia="仿宋" w:cs="仿宋"/>
          <w:sz w:val="32"/>
          <w:szCs w:val="32"/>
        </w:rPr>
      </w:pPr>
      <w:r>
        <w:rPr>
          <w:rFonts w:ascii="仿宋" w:hAnsi="仿宋" w:eastAsia="仿宋" w:cs="仿宋"/>
          <w:sz w:val="32"/>
          <w:szCs w:val="32"/>
          <w:lang w:val="zh-CN"/>
        </w:rPr>
        <w:t>18、</w:t>
      </w:r>
      <w:r>
        <w:rPr>
          <w:rFonts w:ascii="仿宋" w:hAnsi="仿宋" w:eastAsia="仿宋" w:cs="仿宋"/>
          <w:sz w:val="32"/>
          <w:szCs w:val="32"/>
        </w:rPr>
        <w:t>组织开展应急管理方面的国际交流与合作。</w:t>
      </w:r>
    </w:p>
    <w:p>
      <w:pPr>
        <w:pStyle w:val="6"/>
        <w:spacing w:line="580" w:lineRule="exact"/>
        <w:ind w:firstLine="640"/>
        <w:rPr>
          <w:rFonts w:ascii="仿宋" w:hAnsi="仿宋" w:eastAsia="仿宋" w:cs="仿宋"/>
          <w:sz w:val="32"/>
          <w:szCs w:val="32"/>
        </w:rPr>
      </w:pPr>
      <w:r>
        <w:rPr>
          <w:rFonts w:ascii="仿宋" w:hAnsi="仿宋" w:eastAsia="仿宋" w:cs="仿宋"/>
          <w:sz w:val="32"/>
          <w:szCs w:val="32"/>
          <w:lang w:val="zh-CN"/>
        </w:rPr>
        <w:t>19、</w:t>
      </w:r>
      <w:r>
        <w:rPr>
          <w:rFonts w:ascii="仿宋" w:hAnsi="仿宋" w:eastAsia="仿宋" w:cs="仿宋"/>
          <w:sz w:val="32"/>
          <w:szCs w:val="32"/>
        </w:rPr>
        <w:t>完成市委、市政府交办的其他任务。</w:t>
      </w:r>
    </w:p>
    <w:p>
      <w:pPr>
        <w:pStyle w:val="7"/>
        <w:spacing w:before="0" w:after="0" w:line="600" w:lineRule="exact"/>
        <w:jc w:val="left"/>
        <w:rPr>
          <w:rFonts w:ascii="宋体" w:hAnsi="宋体" w:eastAsia="宋体" w:cs="宋体"/>
          <w:b/>
          <w:bCs/>
          <w:kern w:val="0"/>
          <w:sz w:val="32"/>
          <w:szCs w:val="32"/>
        </w:rPr>
      </w:pPr>
      <w:r>
        <w:rPr>
          <w:rFonts w:ascii="宋体" w:hAnsi="宋体" w:eastAsia="宋体" w:cs="宋体"/>
          <w:b/>
          <w:bCs/>
          <w:kern w:val="0"/>
          <w:sz w:val="32"/>
          <w:szCs w:val="32"/>
        </w:rPr>
        <w:t>二、机构设置</w:t>
      </w:r>
    </w:p>
    <w:p>
      <w:pPr>
        <w:pStyle w:val="6"/>
        <w:spacing w:before="0" w:after="0" w:line="560" w:lineRule="exact"/>
        <w:ind w:firstLine="640"/>
        <w:rPr>
          <w:rFonts w:ascii="仿宋" w:hAnsi="仿宋" w:eastAsia="仿宋" w:cs="仿宋"/>
          <w:kern w:val="0"/>
          <w:sz w:val="32"/>
          <w:szCs w:val="32"/>
        </w:rPr>
      </w:pPr>
      <w:r>
        <w:rPr>
          <w:rFonts w:ascii="仿宋" w:hAnsi="仿宋" w:eastAsia="仿宋" w:cs="仿宋"/>
          <w:kern w:val="0"/>
          <w:sz w:val="32"/>
          <w:szCs w:val="32"/>
        </w:rPr>
        <w:t>从决算编报单位构成看，纳入</w:t>
      </w:r>
      <w:r>
        <w:rPr>
          <w:rFonts w:ascii="仿宋" w:hAnsi="仿宋" w:eastAsia="仿宋" w:cs="仿宋"/>
          <w:kern w:val="0"/>
          <w:sz w:val="32"/>
          <w:szCs w:val="32"/>
          <w:lang w:eastAsia="zh-CN"/>
        </w:rPr>
        <w:t>2019</w:t>
      </w:r>
      <w:r>
        <w:rPr>
          <w:rFonts w:ascii="仿宋" w:hAnsi="仿宋" w:eastAsia="仿宋" w:cs="仿宋"/>
          <w:kern w:val="0"/>
          <w:sz w:val="32"/>
          <w:szCs w:val="32"/>
        </w:rPr>
        <w:t xml:space="preserve"> 年度本部门决算汇编范围的单位（以下简称“单位”）共4个，</w:t>
      </w:r>
      <w:r>
        <w:rPr>
          <w:rFonts w:ascii="仿宋" w:hAnsi="仿宋" w:eastAsia="仿宋" w:cs="仿宋"/>
          <w:kern w:val="0"/>
          <w:sz w:val="32"/>
          <w:szCs w:val="32"/>
          <w:lang w:eastAsia="zh-CN"/>
        </w:rPr>
        <w:t>其中承德市安全生产监察支队、承德市安全生产应急救援指挥中心、承德市重大危险源监控中心财务不独立核算，均纳入局机关统一核算，具体情况如下</w:t>
      </w:r>
      <w:r>
        <w:rPr>
          <w:rFonts w:ascii="仿宋" w:hAnsi="仿宋" w:eastAsia="仿宋" w:cs="仿宋"/>
          <w:kern w:val="0"/>
          <w:sz w:val="32"/>
          <w:szCs w:val="32"/>
        </w:rPr>
        <w:t>：</w:t>
      </w:r>
    </w:p>
    <w:tbl>
      <w:tblPr>
        <w:tblStyle w:val="2"/>
        <w:tblpPr w:leftFromText="180" w:rightFromText="180" w:vertAnchor="text" w:horzAnchor="page" w:tblpXSpec="center" w:tblpY="10"/>
        <w:tblW w:w="9457" w:type="dxa"/>
        <w:jc w:val="center"/>
        <w:tblLayout w:type="fixed"/>
        <w:tblCellMar>
          <w:top w:w="0" w:type="dxa"/>
          <w:left w:w="108" w:type="dxa"/>
          <w:bottom w:w="0" w:type="dxa"/>
          <w:right w:w="108" w:type="dxa"/>
        </w:tblCellMar>
      </w:tblPr>
      <w:tblGrid>
        <w:gridCol w:w="846"/>
        <w:gridCol w:w="4500"/>
        <w:gridCol w:w="2061"/>
        <w:gridCol w:w="2050"/>
      </w:tblGrid>
      <w:tr>
        <w:tblPrEx>
          <w:tblCellMar>
            <w:top w:w="0" w:type="dxa"/>
            <w:left w:w="108" w:type="dxa"/>
            <w:bottom w:w="0" w:type="dxa"/>
            <w:right w:w="108" w:type="dxa"/>
          </w:tblCellMar>
        </w:tblPrEx>
        <w:trPr>
          <w:trHeight w:val="811"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before="0" w:after="0" w:line="560" w:lineRule="exact"/>
              <w:jc w:val="center"/>
              <w:rPr>
                <w:rFonts w:ascii="仿宋" w:hAnsi="仿宋" w:eastAsia="仿宋" w:cs="仿宋"/>
                <w:b/>
                <w:bCs/>
                <w:kern w:val="0"/>
                <w:sz w:val="32"/>
                <w:szCs w:val="32"/>
              </w:rPr>
            </w:pPr>
            <w:r>
              <w:rPr>
                <w:rFonts w:ascii="仿宋" w:hAnsi="仿宋" w:eastAsia="仿宋" w:cs="仿宋"/>
                <w:b/>
                <w:bCs/>
                <w:kern w:val="0"/>
                <w:sz w:val="32"/>
                <w:szCs w:val="32"/>
              </w:rPr>
              <w:t>序号</w:t>
            </w:r>
          </w:p>
        </w:tc>
        <w:tc>
          <w:tcPr>
            <w:tcW w:w="450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before="0" w:after="0" w:line="560" w:lineRule="exact"/>
              <w:jc w:val="center"/>
              <w:rPr>
                <w:rFonts w:ascii="仿宋" w:hAnsi="仿宋" w:eastAsia="仿宋" w:cs="仿宋"/>
                <w:b/>
                <w:bCs/>
                <w:kern w:val="0"/>
                <w:sz w:val="32"/>
                <w:szCs w:val="32"/>
              </w:rPr>
            </w:pPr>
            <w:r>
              <w:rPr>
                <w:rFonts w:ascii="仿宋" w:hAnsi="仿宋" w:eastAsia="仿宋" w:cs="仿宋"/>
                <w:b/>
                <w:bCs/>
                <w:kern w:val="0"/>
                <w:sz w:val="32"/>
                <w:szCs w:val="32"/>
              </w:rPr>
              <w:t>单位名称</w:t>
            </w:r>
          </w:p>
        </w:tc>
        <w:tc>
          <w:tcPr>
            <w:tcW w:w="2061"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before="0" w:after="0" w:line="560" w:lineRule="exact"/>
              <w:jc w:val="center"/>
              <w:rPr>
                <w:rFonts w:ascii="仿宋" w:hAnsi="仿宋" w:eastAsia="仿宋" w:cs="仿宋"/>
                <w:b/>
                <w:bCs/>
                <w:kern w:val="0"/>
                <w:sz w:val="32"/>
                <w:szCs w:val="32"/>
              </w:rPr>
            </w:pPr>
            <w:r>
              <w:rPr>
                <w:rFonts w:ascii="仿宋" w:hAnsi="仿宋" w:eastAsia="仿宋" w:cs="仿宋"/>
                <w:b/>
                <w:bCs/>
                <w:kern w:val="0"/>
                <w:sz w:val="32"/>
                <w:szCs w:val="32"/>
              </w:rPr>
              <w:t>单位基本性质</w:t>
            </w:r>
          </w:p>
        </w:tc>
        <w:tc>
          <w:tcPr>
            <w:tcW w:w="2050" w:type="dxa"/>
            <w:tcBorders>
              <w:top w:val="single" w:color="000000" w:sz="4" w:space="0"/>
              <w:left w:val="single" w:color="000000" w:sz="4" w:space="0"/>
              <w:bottom w:val="single" w:color="000000" w:sz="4" w:space="0"/>
              <w:right w:val="single" w:color="000000" w:sz="4" w:space="0"/>
            </w:tcBorders>
            <w:vAlign w:val="center"/>
          </w:tcPr>
          <w:p>
            <w:pPr>
              <w:pStyle w:val="6"/>
              <w:widowControl w:val="0"/>
              <w:spacing w:before="0" w:after="0" w:line="560" w:lineRule="exact"/>
              <w:jc w:val="center"/>
              <w:rPr>
                <w:rFonts w:ascii="仿宋" w:hAnsi="仿宋" w:eastAsia="仿宋" w:cs="仿宋"/>
                <w:b/>
                <w:bCs/>
                <w:kern w:val="0"/>
                <w:sz w:val="32"/>
                <w:szCs w:val="32"/>
              </w:rPr>
            </w:pPr>
            <w:r>
              <w:rPr>
                <w:rFonts w:ascii="仿宋" w:hAnsi="仿宋" w:eastAsia="仿宋" w:cs="仿宋"/>
                <w:b/>
                <w:bCs/>
                <w:kern w:val="0"/>
                <w:sz w:val="32"/>
                <w:szCs w:val="32"/>
              </w:rPr>
              <w:t>经费形式</w:t>
            </w:r>
          </w:p>
        </w:tc>
      </w:tr>
      <w:tr>
        <w:tblPrEx>
          <w:tblCellMar>
            <w:top w:w="0" w:type="dxa"/>
            <w:left w:w="108" w:type="dxa"/>
            <w:bottom w:w="0" w:type="dxa"/>
            <w:right w:w="108" w:type="dxa"/>
          </w:tblCellMar>
        </w:tblPrEx>
        <w:trPr>
          <w:trHeight w:val="596" w:hRule="atLeast"/>
          <w:jc w:val="center"/>
        </w:trPr>
        <w:tc>
          <w:tcPr>
            <w:tcW w:w="846" w:type="dxa"/>
            <w:tcBorders>
              <w:top w:val="single" w:color="000000" w:sz="4" w:space="0"/>
              <w:left w:val="single" w:color="000000" w:sz="4" w:space="0"/>
              <w:bottom w:val="single" w:color="000000" w:sz="4" w:space="0"/>
              <w:right w:val="single" w:color="000000" w:sz="4" w:space="0"/>
            </w:tcBorders>
          </w:tcPr>
          <w:p>
            <w:pPr>
              <w:pStyle w:val="6"/>
              <w:widowControl w:val="0"/>
              <w:spacing w:before="0" w:after="0" w:line="560" w:lineRule="exact"/>
              <w:jc w:val="center"/>
              <w:rPr>
                <w:rFonts w:ascii="仿宋" w:hAnsi="仿宋" w:eastAsia="仿宋" w:cs="仿宋"/>
                <w:kern w:val="0"/>
                <w:sz w:val="32"/>
                <w:szCs w:val="32"/>
              </w:rPr>
            </w:pPr>
            <w:r>
              <w:rPr>
                <w:rFonts w:ascii="仿宋" w:hAnsi="仿宋" w:eastAsia="仿宋" w:cs="仿宋"/>
                <w:kern w:val="0"/>
                <w:sz w:val="32"/>
                <w:szCs w:val="32"/>
              </w:rPr>
              <w:t>1</w:t>
            </w:r>
          </w:p>
        </w:tc>
        <w:tc>
          <w:tcPr>
            <w:tcW w:w="4500" w:type="dxa"/>
            <w:tcBorders>
              <w:top w:val="single" w:color="000000" w:sz="4" w:space="0"/>
              <w:left w:val="single" w:color="000000" w:sz="4" w:space="0"/>
              <w:bottom w:val="single" w:color="000000" w:sz="4" w:space="0"/>
              <w:right w:val="single" w:color="000000" w:sz="4" w:space="0"/>
            </w:tcBorders>
          </w:tcPr>
          <w:p>
            <w:pPr>
              <w:pStyle w:val="6"/>
              <w:widowControl w:val="0"/>
              <w:spacing w:before="0" w:after="0" w:line="560" w:lineRule="exact"/>
              <w:rPr>
                <w:rFonts w:ascii="仿宋" w:hAnsi="仿宋" w:eastAsia="仿宋" w:cs="仿宋"/>
                <w:kern w:val="0"/>
                <w:sz w:val="32"/>
                <w:szCs w:val="32"/>
              </w:rPr>
            </w:pPr>
            <w:r>
              <w:rPr>
                <w:rFonts w:ascii="仿宋" w:hAnsi="仿宋" w:eastAsia="仿宋" w:cs="仿宋"/>
                <w:kern w:val="0"/>
                <w:sz w:val="32"/>
                <w:szCs w:val="32"/>
              </w:rPr>
              <w:t>承德市安全生产监督管理局(本级)</w:t>
            </w:r>
          </w:p>
        </w:tc>
        <w:tc>
          <w:tcPr>
            <w:tcW w:w="2061" w:type="dxa"/>
            <w:tcBorders>
              <w:top w:val="single" w:color="000000" w:sz="4" w:space="0"/>
              <w:left w:val="single" w:color="000000" w:sz="4" w:space="0"/>
              <w:bottom w:val="single" w:color="000000" w:sz="4" w:space="0"/>
              <w:right w:val="single" w:color="000000" w:sz="4" w:space="0"/>
            </w:tcBorders>
          </w:tcPr>
          <w:p>
            <w:pPr>
              <w:pStyle w:val="6"/>
              <w:widowControl w:val="0"/>
              <w:spacing w:before="0" w:after="0" w:line="560" w:lineRule="exact"/>
              <w:jc w:val="center"/>
              <w:rPr>
                <w:rFonts w:ascii="仿宋" w:hAnsi="仿宋" w:eastAsia="仿宋" w:cs="仿宋"/>
                <w:kern w:val="0"/>
                <w:sz w:val="32"/>
                <w:szCs w:val="32"/>
              </w:rPr>
            </w:pPr>
            <w:r>
              <w:rPr>
                <w:rFonts w:ascii="仿宋" w:hAnsi="仿宋" w:eastAsia="仿宋" w:cs="仿宋"/>
                <w:kern w:val="0"/>
                <w:sz w:val="32"/>
                <w:szCs w:val="32"/>
              </w:rPr>
              <w:t>行政单位</w:t>
            </w:r>
          </w:p>
        </w:tc>
        <w:tc>
          <w:tcPr>
            <w:tcW w:w="2050" w:type="dxa"/>
            <w:tcBorders>
              <w:top w:val="single" w:color="000000" w:sz="4" w:space="0"/>
              <w:left w:val="single" w:color="000000" w:sz="4" w:space="0"/>
              <w:bottom w:val="single" w:color="000000" w:sz="4" w:space="0"/>
              <w:right w:val="single" w:color="000000" w:sz="4" w:space="0"/>
            </w:tcBorders>
          </w:tcPr>
          <w:p>
            <w:pPr>
              <w:pStyle w:val="6"/>
              <w:widowControl w:val="0"/>
              <w:spacing w:before="0" w:after="0" w:line="560" w:lineRule="exact"/>
              <w:jc w:val="center"/>
              <w:rPr>
                <w:rFonts w:ascii="仿宋" w:hAnsi="仿宋" w:eastAsia="仿宋" w:cs="仿宋"/>
                <w:kern w:val="0"/>
                <w:sz w:val="32"/>
                <w:szCs w:val="32"/>
              </w:rPr>
            </w:pPr>
            <w:r>
              <w:rPr>
                <w:rFonts w:ascii="仿宋" w:hAnsi="仿宋" w:eastAsia="仿宋" w:cs="仿宋"/>
                <w:kern w:val="0"/>
                <w:sz w:val="32"/>
                <w:szCs w:val="32"/>
              </w:rPr>
              <w:t>财政拨款</w:t>
            </w:r>
          </w:p>
        </w:tc>
      </w:tr>
      <w:tr>
        <w:tblPrEx>
          <w:tblCellMar>
            <w:top w:w="0" w:type="dxa"/>
            <w:left w:w="108" w:type="dxa"/>
            <w:bottom w:w="0" w:type="dxa"/>
            <w:right w:w="108" w:type="dxa"/>
          </w:tblCellMar>
        </w:tblPrEx>
        <w:trPr>
          <w:trHeight w:val="596" w:hRule="atLeast"/>
          <w:jc w:val="center"/>
        </w:trPr>
        <w:tc>
          <w:tcPr>
            <w:tcW w:w="846" w:type="dxa"/>
            <w:tcBorders>
              <w:top w:val="single" w:color="000000" w:sz="4" w:space="0"/>
              <w:left w:val="single" w:color="000000" w:sz="4" w:space="0"/>
              <w:bottom w:val="single" w:color="000000" w:sz="4" w:space="0"/>
              <w:right w:val="single" w:color="000000" w:sz="4" w:space="0"/>
            </w:tcBorders>
          </w:tcPr>
          <w:p>
            <w:pPr>
              <w:pStyle w:val="6"/>
              <w:widowControl w:val="0"/>
              <w:spacing w:before="0" w:after="0" w:line="560" w:lineRule="exact"/>
              <w:jc w:val="center"/>
              <w:rPr>
                <w:rFonts w:ascii="仿宋" w:hAnsi="仿宋" w:eastAsia="仿宋" w:cs="仿宋"/>
                <w:kern w:val="0"/>
                <w:sz w:val="32"/>
                <w:szCs w:val="32"/>
              </w:rPr>
            </w:pPr>
            <w:r>
              <w:rPr>
                <w:rFonts w:ascii="仿宋" w:hAnsi="仿宋" w:eastAsia="仿宋" w:cs="仿宋"/>
                <w:kern w:val="0"/>
                <w:sz w:val="32"/>
                <w:szCs w:val="32"/>
              </w:rPr>
              <w:t>2</w:t>
            </w:r>
          </w:p>
        </w:tc>
        <w:tc>
          <w:tcPr>
            <w:tcW w:w="4500" w:type="dxa"/>
            <w:tcBorders>
              <w:top w:val="single" w:color="000000" w:sz="4" w:space="0"/>
              <w:left w:val="single" w:color="000000" w:sz="4" w:space="0"/>
              <w:bottom w:val="single" w:color="000000" w:sz="4" w:space="0"/>
              <w:right w:val="single" w:color="000000" w:sz="4" w:space="0"/>
            </w:tcBorders>
          </w:tcPr>
          <w:p>
            <w:pPr>
              <w:pStyle w:val="6"/>
              <w:widowControl w:val="0"/>
              <w:spacing w:before="0" w:after="0" w:line="560" w:lineRule="exact"/>
              <w:rPr>
                <w:rFonts w:ascii="仿宋" w:hAnsi="仿宋" w:eastAsia="仿宋" w:cs="仿宋"/>
                <w:kern w:val="0"/>
                <w:sz w:val="32"/>
                <w:szCs w:val="32"/>
              </w:rPr>
            </w:pPr>
            <w:r>
              <w:rPr>
                <w:rFonts w:ascii="仿宋" w:hAnsi="仿宋" w:eastAsia="仿宋" w:cs="仿宋"/>
                <w:sz w:val="32"/>
                <w:szCs w:val="32"/>
              </w:rPr>
              <w:t>承德市安全生产监察支队</w:t>
            </w:r>
          </w:p>
        </w:tc>
        <w:tc>
          <w:tcPr>
            <w:tcW w:w="2061" w:type="dxa"/>
            <w:tcBorders>
              <w:top w:val="single" w:color="000000" w:sz="4" w:space="0"/>
              <w:left w:val="single" w:color="000000" w:sz="4" w:space="0"/>
              <w:bottom w:val="single" w:color="000000" w:sz="4" w:space="0"/>
              <w:right w:val="single" w:color="000000" w:sz="4" w:space="0"/>
            </w:tcBorders>
          </w:tcPr>
          <w:p>
            <w:pPr>
              <w:pStyle w:val="6"/>
              <w:widowControl w:val="0"/>
              <w:spacing w:before="0" w:after="0" w:line="560" w:lineRule="exact"/>
              <w:jc w:val="center"/>
              <w:rPr>
                <w:rFonts w:ascii="仿宋" w:hAnsi="仿宋" w:eastAsia="仿宋" w:cs="仿宋"/>
                <w:kern w:val="0"/>
                <w:sz w:val="32"/>
                <w:szCs w:val="32"/>
              </w:rPr>
            </w:pPr>
            <w:r>
              <w:rPr>
                <w:rFonts w:ascii="仿宋" w:hAnsi="仿宋" w:eastAsia="仿宋" w:cs="仿宋"/>
                <w:kern w:val="0"/>
                <w:sz w:val="32"/>
                <w:szCs w:val="32"/>
              </w:rPr>
              <w:t>参公事业单位</w:t>
            </w:r>
          </w:p>
        </w:tc>
        <w:tc>
          <w:tcPr>
            <w:tcW w:w="2050" w:type="dxa"/>
            <w:tcBorders>
              <w:top w:val="single" w:color="000000" w:sz="4" w:space="0"/>
              <w:left w:val="single" w:color="000000" w:sz="4" w:space="0"/>
              <w:bottom w:val="single" w:color="000000" w:sz="4" w:space="0"/>
              <w:right w:val="single" w:color="000000" w:sz="4" w:space="0"/>
            </w:tcBorders>
          </w:tcPr>
          <w:p>
            <w:pPr>
              <w:pStyle w:val="6"/>
              <w:widowControl w:val="0"/>
              <w:spacing w:before="0" w:after="0" w:line="560" w:lineRule="exact"/>
              <w:jc w:val="center"/>
              <w:rPr>
                <w:rFonts w:ascii="仿宋" w:hAnsi="仿宋" w:eastAsia="仿宋" w:cs="仿宋"/>
                <w:kern w:val="0"/>
                <w:sz w:val="32"/>
                <w:szCs w:val="32"/>
              </w:rPr>
            </w:pPr>
            <w:r>
              <w:rPr>
                <w:rFonts w:ascii="仿宋" w:hAnsi="仿宋" w:eastAsia="仿宋" w:cs="仿宋"/>
                <w:kern w:val="0"/>
                <w:sz w:val="32"/>
                <w:szCs w:val="32"/>
              </w:rPr>
              <w:t>财政拨款</w:t>
            </w:r>
          </w:p>
        </w:tc>
      </w:tr>
      <w:tr>
        <w:tblPrEx>
          <w:tblCellMar>
            <w:top w:w="0" w:type="dxa"/>
            <w:left w:w="108" w:type="dxa"/>
            <w:bottom w:w="0" w:type="dxa"/>
            <w:right w:w="108" w:type="dxa"/>
          </w:tblCellMar>
        </w:tblPrEx>
        <w:trPr>
          <w:trHeight w:val="1197" w:hRule="atLeast"/>
          <w:jc w:val="center"/>
        </w:trPr>
        <w:tc>
          <w:tcPr>
            <w:tcW w:w="846" w:type="dxa"/>
            <w:tcBorders>
              <w:top w:val="single" w:color="000000" w:sz="4" w:space="0"/>
              <w:left w:val="single" w:color="000000" w:sz="4" w:space="0"/>
              <w:bottom w:val="single" w:color="000000" w:sz="4" w:space="0"/>
              <w:right w:val="single" w:color="000000" w:sz="4" w:space="0"/>
            </w:tcBorders>
          </w:tcPr>
          <w:p>
            <w:pPr>
              <w:pStyle w:val="6"/>
              <w:widowControl w:val="0"/>
              <w:spacing w:before="0" w:after="0" w:line="560" w:lineRule="exact"/>
              <w:jc w:val="center"/>
              <w:rPr>
                <w:rFonts w:ascii="仿宋" w:hAnsi="仿宋" w:eastAsia="仿宋" w:cs="仿宋"/>
                <w:kern w:val="0"/>
                <w:sz w:val="32"/>
                <w:szCs w:val="32"/>
              </w:rPr>
            </w:pPr>
            <w:r>
              <w:rPr>
                <w:rFonts w:ascii="仿宋" w:hAnsi="仿宋" w:eastAsia="仿宋" w:cs="仿宋"/>
                <w:kern w:val="0"/>
                <w:sz w:val="32"/>
                <w:szCs w:val="32"/>
              </w:rPr>
              <w:t>3</w:t>
            </w:r>
          </w:p>
        </w:tc>
        <w:tc>
          <w:tcPr>
            <w:tcW w:w="4500" w:type="dxa"/>
            <w:tcBorders>
              <w:top w:val="single" w:color="000000" w:sz="4" w:space="0"/>
              <w:left w:val="single" w:color="000000" w:sz="4" w:space="0"/>
              <w:bottom w:val="single" w:color="000000" w:sz="4" w:space="0"/>
              <w:right w:val="single" w:color="000000" w:sz="4" w:space="0"/>
            </w:tcBorders>
          </w:tcPr>
          <w:p>
            <w:pPr>
              <w:pStyle w:val="6"/>
              <w:widowControl w:val="0"/>
              <w:spacing w:before="0" w:after="0" w:line="560" w:lineRule="exact"/>
              <w:rPr>
                <w:rFonts w:ascii="仿宋" w:hAnsi="仿宋" w:eastAsia="仿宋" w:cs="仿宋"/>
                <w:kern w:val="0"/>
                <w:sz w:val="32"/>
                <w:szCs w:val="32"/>
              </w:rPr>
            </w:pPr>
            <w:r>
              <w:rPr>
                <w:rFonts w:ascii="仿宋" w:hAnsi="仿宋" w:eastAsia="仿宋" w:cs="仿宋"/>
                <w:sz w:val="32"/>
                <w:szCs w:val="32"/>
              </w:rPr>
              <w:t>承德市安全生产应急救援指挥中心</w:t>
            </w:r>
          </w:p>
        </w:tc>
        <w:tc>
          <w:tcPr>
            <w:tcW w:w="2061" w:type="dxa"/>
            <w:tcBorders>
              <w:top w:val="single" w:color="000000" w:sz="4" w:space="0"/>
              <w:left w:val="single" w:color="000000" w:sz="4" w:space="0"/>
              <w:bottom w:val="single" w:color="000000" w:sz="4" w:space="0"/>
              <w:right w:val="single" w:color="000000" w:sz="4" w:space="0"/>
            </w:tcBorders>
          </w:tcPr>
          <w:p>
            <w:pPr>
              <w:pStyle w:val="6"/>
              <w:widowControl w:val="0"/>
              <w:spacing w:before="0" w:after="0" w:line="560" w:lineRule="exact"/>
              <w:jc w:val="center"/>
              <w:rPr>
                <w:rFonts w:ascii="仿宋" w:hAnsi="仿宋" w:eastAsia="仿宋" w:cs="仿宋"/>
                <w:kern w:val="0"/>
                <w:sz w:val="32"/>
                <w:szCs w:val="32"/>
              </w:rPr>
            </w:pPr>
            <w:r>
              <w:rPr>
                <w:rFonts w:ascii="仿宋" w:hAnsi="仿宋" w:eastAsia="仿宋" w:cs="仿宋"/>
                <w:kern w:val="0"/>
                <w:sz w:val="32"/>
                <w:szCs w:val="32"/>
              </w:rPr>
              <w:t>财政补助事业单位</w:t>
            </w:r>
          </w:p>
        </w:tc>
        <w:tc>
          <w:tcPr>
            <w:tcW w:w="2050" w:type="dxa"/>
            <w:tcBorders>
              <w:top w:val="single" w:color="000000" w:sz="4" w:space="0"/>
              <w:left w:val="single" w:color="000000" w:sz="4" w:space="0"/>
              <w:bottom w:val="single" w:color="000000" w:sz="4" w:space="0"/>
              <w:right w:val="single" w:color="000000" w:sz="4" w:space="0"/>
            </w:tcBorders>
          </w:tcPr>
          <w:p>
            <w:pPr>
              <w:pStyle w:val="6"/>
              <w:widowControl w:val="0"/>
              <w:spacing w:before="0" w:after="0" w:line="560" w:lineRule="exact"/>
              <w:jc w:val="center"/>
              <w:rPr>
                <w:rFonts w:ascii="仿宋" w:hAnsi="仿宋" w:eastAsia="仿宋" w:cs="仿宋"/>
                <w:kern w:val="0"/>
                <w:sz w:val="32"/>
                <w:szCs w:val="32"/>
              </w:rPr>
            </w:pPr>
            <w:r>
              <w:rPr>
                <w:rFonts w:ascii="仿宋" w:hAnsi="仿宋" w:eastAsia="仿宋" w:cs="仿宋"/>
                <w:kern w:val="0"/>
                <w:sz w:val="32"/>
                <w:szCs w:val="32"/>
              </w:rPr>
              <w:t>财政性资金基本保证</w:t>
            </w:r>
          </w:p>
        </w:tc>
      </w:tr>
      <w:tr>
        <w:tblPrEx>
          <w:tblCellMar>
            <w:top w:w="0" w:type="dxa"/>
            <w:left w:w="108" w:type="dxa"/>
            <w:bottom w:w="0" w:type="dxa"/>
            <w:right w:w="108" w:type="dxa"/>
          </w:tblCellMar>
        </w:tblPrEx>
        <w:trPr>
          <w:trHeight w:val="1451" w:hRule="atLeast"/>
          <w:jc w:val="center"/>
        </w:trPr>
        <w:tc>
          <w:tcPr>
            <w:tcW w:w="846" w:type="dxa"/>
            <w:tcBorders>
              <w:top w:val="single" w:color="000000" w:sz="4" w:space="0"/>
              <w:left w:val="single" w:color="000000" w:sz="4" w:space="0"/>
              <w:bottom w:val="single" w:color="000000" w:sz="4" w:space="0"/>
              <w:right w:val="single" w:color="000000" w:sz="4" w:space="0"/>
            </w:tcBorders>
          </w:tcPr>
          <w:p>
            <w:pPr>
              <w:pStyle w:val="6"/>
              <w:widowControl w:val="0"/>
              <w:spacing w:before="0" w:after="0" w:line="560" w:lineRule="exact"/>
              <w:jc w:val="center"/>
              <w:rPr>
                <w:rFonts w:ascii="仿宋" w:hAnsi="仿宋" w:eastAsia="仿宋" w:cs="仿宋"/>
                <w:kern w:val="0"/>
                <w:sz w:val="32"/>
                <w:szCs w:val="32"/>
              </w:rPr>
            </w:pPr>
            <w:r>
              <w:rPr>
                <w:rFonts w:ascii="仿宋" w:hAnsi="仿宋" w:eastAsia="仿宋" w:cs="仿宋"/>
                <w:kern w:val="0"/>
                <w:sz w:val="32"/>
                <w:szCs w:val="32"/>
              </w:rPr>
              <w:t>4</w:t>
            </w:r>
          </w:p>
        </w:tc>
        <w:tc>
          <w:tcPr>
            <w:tcW w:w="4500" w:type="dxa"/>
            <w:tcBorders>
              <w:top w:val="single" w:color="000000" w:sz="4" w:space="0"/>
              <w:left w:val="single" w:color="000000" w:sz="4" w:space="0"/>
              <w:bottom w:val="single" w:color="000000" w:sz="4" w:space="0"/>
              <w:right w:val="single" w:color="000000" w:sz="4" w:space="0"/>
            </w:tcBorders>
          </w:tcPr>
          <w:p>
            <w:pPr>
              <w:pStyle w:val="6"/>
              <w:widowControl w:val="0"/>
              <w:spacing w:before="0" w:after="0" w:line="560" w:lineRule="exact"/>
              <w:rPr>
                <w:rFonts w:ascii="仿宋" w:hAnsi="仿宋" w:eastAsia="仿宋" w:cs="仿宋"/>
                <w:kern w:val="0"/>
                <w:sz w:val="32"/>
                <w:szCs w:val="32"/>
              </w:rPr>
            </w:pPr>
            <w:r>
              <w:rPr>
                <w:rFonts w:ascii="仿宋" w:hAnsi="仿宋" w:eastAsia="仿宋" w:cs="仿宋"/>
                <w:sz w:val="32"/>
                <w:szCs w:val="32"/>
              </w:rPr>
              <w:t>承德市重大危险源监控中心</w:t>
            </w:r>
          </w:p>
        </w:tc>
        <w:tc>
          <w:tcPr>
            <w:tcW w:w="2061" w:type="dxa"/>
            <w:tcBorders>
              <w:top w:val="single" w:color="000000" w:sz="4" w:space="0"/>
              <w:left w:val="single" w:color="000000" w:sz="4" w:space="0"/>
              <w:bottom w:val="single" w:color="000000" w:sz="4" w:space="0"/>
              <w:right w:val="single" w:color="000000" w:sz="4" w:space="0"/>
            </w:tcBorders>
          </w:tcPr>
          <w:p>
            <w:pPr>
              <w:pStyle w:val="6"/>
              <w:widowControl w:val="0"/>
              <w:spacing w:before="0" w:after="0" w:line="560" w:lineRule="exact"/>
              <w:jc w:val="center"/>
              <w:rPr>
                <w:rFonts w:ascii="仿宋" w:hAnsi="仿宋" w:eastAsia="仿宋" w:cs="仿宋"/>
                <w:kern w:val="0"/>
                <w:sz w:val="32"/>
                <w:szCs w:val="32"/>
              </w:rPr>
            </w:pPr>
            <w:r>
              <w:rPr>
                <w:rFonts w:ascii="仿宋" w:hAnsi="仿宋" w:eastAsia="仿宋" w:cs="仿宋"/>
                <w:kern w:val="0"/>
                <w:sz w:val="32"/>
                <w:szCs w:val="32"/>
              </w:rPr>
              <w:t>财政补助事业单位</w:t>
            </w:r>
          </w:p>
        </w:tc>
        <w:tc>
          <w:tcPr>
            <w:tcW w:w="2050" w:type="dxa"/>
            <w:tcBorders>
              <w:top w:val="single" w:color="000000" w:sz="4" w:space="0"/>
              <w:left w:val="single" w:color="000000" w:sz="4" w:space="0"/>
              <w:bottom w:val="single" w:color="000000" w:sz="4" w:space="0"/>
              <w:right w:val="single" w:color="000000" w:sz="4" w:space="0"/>
            </w:tcBorders>
          </w:tcPr>
          <w:tbl>
            <w:tblPr>
              <w:tblStyle w:val="2"/>
              <w:tblpPr w:leftFromText="180" w:rightFromText="180" w:vertAnchor="text" w:horzAnchor="page" w:tblpXSpec="center" w:tblpY="10"/>
              <w:tblW w:w="2050" w:type="dxa"/>
              <w:jc w:val="center"/>
              <w:tblLayout w:type="fixed"/>
              <w:tblCellMar>
                <w:top w:w="0" w:type="dxa"/>
                <w:left w:w="108" w:type="dxa"/>
                <w:bottom w:w="0" w:type="dxa"/>
                <w:right w:w="108" w:type="dxa"/>
              </w:tblCellMar>
            </w:tblPr>
            <w:tblGrid>
              <w:gridCol w:w="2050"/>
            </w:tblGrid>
            <w:tr>
              <w:tblPrEx>
                <w:tblCellMar>
                  <w:top w:w="0" w:type="dxa"/>
                  <w:left w:w="108" w:type="dxa"/>
                  <w:bottom w:w="0" w:type="dxa"/>
                  <w:right w:w="108" w:type="dxa"/>
                </w:tblCellMar>
              </w:tblPrEx>
              <w:trPr>
                <w:trHeight w:val="596" w:hRule="atLeast"/>
                <w:jc w:val="center"/>
              </w:trPr>
              <w:tc>
                <w:tcPr>
                  <w:tcW w:w="2050" w:type="dxa"/>
                  <w:tcBorders>
                    <w:top w:val="single" w:color="000000" w:sz="4" w:space="0"/>
                    <w:left w:val="single" w:color="000000" w:sz="4" w:space="0"/>
                    <w:bottom w:val="single" w:color="000000" w:sz="4" w:space="0"/>
                    <w:right w:val="single" w:color="000000" w:sz="4" w:space="0"/>
                  </w:tcBorders>
                </w:tcPr>
                <w:p>
                  <w:pPr>
                    <w:pStyle w:val="6"/>
                    <w:widowControl w:val="0"/>
                    <w:spacing w:before="0" w:after="0" w:line="560" w:lineRule="exact"/>
                    <w:jc w:val="center"/>
                    <w:rPr>
                      <w:rFonts w:ascii="仿宋" w:hAnsi="仿宋" w:eastAsia="仿宋" w:cs="仿宋"/>
                      <w:kern w:val="0"/>
                      <w:sz w:val="32"/>
                      <w:szCs w:val="32"/>
                    </w:rPr>
                  </w:pPr>
                  <w:r>
                    <w:rPr>
                      <w:rFonts w:ascii="仿宋" w:hAnsi="仿宋" w:eastAsia="仿宋" w:cs="仿宋"/>
                      <w:kern w:val="0"/>
                      <w:sz w:val="32"/>
                      <w:szCs w:val="32"/>
                    </w:rPr>
                    <w:t>财政性资金基本保证</w:t>
                  </w:r>
                </w:p>
              </w:tc>
            </w:tr>
          </w:tbl>
          <w:p>
            <w:pPr>
              <w:pStyle w:val="6"/>
              <w:widowControl w:val="0"/>
              <w:spacing w:before="0" w:after="0" w:line="560" w:lineRule="exact"/>
              <w:jc w:val="center"/>
              <w:rPr>
                <w:rFonts w:ascii="仿宋" w:hAnsi="仿宋" w:eastAsia="仿宋" w:cs="仿宋"/>
                <w:kern w:val="0"/>
                <w:sz w:val="32"/>
                <w:szCs w:val="32"/>
              </w:rPr>
            </w:pPr>
          </w:p>
        </w:tc>
      </w:tr>
      <w:tr>
        <w:tblPrEx>
          <w:tblCellMar>
            <w:top w:w="0" w:type="dxa"/>
            <w:left w:w="108" w:type="dxa"/>
            <w:bottom w:w="0" w:type="dxa"/>
            <w:right w:w="108" w:type="dxa"/>
          </w:tblCellMar>
        </w:tblPrEx>
        <w:trPr>
          <w:trHeight w:val="606" w:hRule="atLeast"/>
          <w:jc w:val="center"/>
        </w:trPr>
        <w:tc>
          <w:tcPr>
            <w:tcW w:w="9457" w:type="dxa"/>
            <w:gridSpan w:val="4"/>
            <w:tcBorders>
              <w:top w:val="single" w:color="000000" w:sz="4" w:space="0"/>
            </w:tcBorders>
          </w:tcPr>
          <w:p>
            <w:pPr>
              <w:pStyle w:val="6"/>
              <w:widowControl w:val="0"/>
              <w:spacing w:before="0" w:after="0" w:line="560" w:lineRule="exact"/>
              <w:ind w:firstLine="640"/>
              <w:jc w:val="left"/>
              <w:rPr>
                <w:rFonts w:ascii="仿宋" w:hAnsi="仿宋" w:eastAsia="仿宋" w:cs="仿宋"/>
                <w:kern w:val="0"/>
                <w:sz w:val="32"/>
                <w:szCs w:val="32"/>
              </w:rPr>
            </w:pPr>
          </w:p>
        </w:tc>
      </w:tr>
    </w:tbl>
    <w:p>
      <w:pPr>
        <w:pStyle w:val="6"/>
        <w:spacing w:before="0" w:after="0" w:line="560" w:lineRule="exact"/>
        <w:rPr>
          <w:rFonts w:ascii="仿宋" w:hAnsi="仿宋" w:eastAsia="仿宋" w:cs="仿宋"/>
          <w:kern w:val="0"/>
          <w:sz w:val="32"/>
          <w:szCs w:val="32"/>
        </w:rPr>
      </w:pPr>
    </w:p>
    <w:p>
      <w:pPr>
        <w:pStyle w:val="6"/>
        <w:widowControl/>
        <w:spacing w:before="0" w:after="160" w:line="580" w:lineRule="exact"/>
        <w:ind w:firstLine="640"/>
        <w:rPr>
          <w:rFonts w:ascii="仿宋" w:hAnsi="仿宋" w:eastAsia="仿宋" w:cs="仿宋"/>
          <w:sz w:val="32"/>
          <w:szCs w:val="32"/>
        </w:rPr>
      </w:pPr>
      <w:r>
        <w:rPr>
          <w:rFonts w:ascii="仿宋" w:hAnsi="仿宋" w:eastAsia="仿宋" w:cs="仿宋"/>
          <w:sz w:val="32"/>
          <w:szCs w:val="32"/>
        </w:rPr>
        <mc:AlternateContent>
          <mc:Choice Requires="wps">
            <w:drawing>
              <wp:anchor distT="0" distB="0" distL="0" distR="0" simplePos="0" relativeHeight="251659264" behindDoc="0" locked="0" layoutInCell="0" allowOverlap="1">
                <wp:simplePos x="0" y="0"/>
                <wp:positionH relativeFrom="column">
                  <wp:posOffset>-1088390</wp:posOffset>
                </wp:positionH>
                <wp:positionV relativeFrom="paragraph">
                  <wp:posOffset>3024505</wp:posOffset>
                </wp:positionV>
                <wp:extent cx="7793990" cy="2200910"/>
                <wp:effectExtent l="0" t="0" r="0" b="0"/>
                <wp:wrapNone/>
                <wp:docPr id="23" name="文本框 151"/>
                <wp:cNvGraphicFramePr/>
                <a:graphic xmlns:a="http://schemas.openxmlformats.org/drawingml/2006/main">
                  <a:graphicData uri="http://schemas.microsoft.com/office/word/2010/wordprocessingShape">
                    <wps:wsp>
                      <wps:cNvSpPr/>
                      <wps:spPr>
                        <a:xfrm>
                          <a:off x="0" y="0"/>
                          <a:ext cx="7793280" cy="2200320"/>
                        </a:xfrm>
                        <a:prstGeom prst="rect">
                          <a:avLst/>
                        </a:prstGeom>
                        <a:noFill/>
                        <a:ln w="6350">
                          <a:noFill/>
                        </a:ln>
                      </wps:spPr>
                      <wps:style>
                        <a:lnRef idx="0">
                          <a:srgbClr val="FFFFFF"/>
                        </a:lnRef>
                        <a:fillRef idx="0">
                          <a:srgbClr val="FFFFFF"/>
                        </a:fillRef>
                        <a:effectRef idx="0">
                          <a:srgbClr val="FFFFFF"/>
                        </a:effectRef>
                        <a:fontRef idx="minor"/>
                      </wps:style>
                      <wps:txbx>
                        <w:txbxContent>
                          <w:p>
                            <w:pPr>
                              <w:pStyle w:val="11"/>
                              <w:widowControl/>
                              <w:jc w:val="center"/>
                              <w:rPr>
                                <w:rFonts w:ascii="黑体" w:hAnsi="黑体" w:eastAsia="黑体" w:cs="黑体"/>
                                <w:color w:val="000000" w:themeColor="text1"/>
                                <w:sz w:val="96"/>
                                <w:szCs w:val="96"/>
                                <w14:textFill>
                                  <w14:solidFill>
                                    <w14:schemeClr w14:val="tx1"/>
                                  </w14:solidFill>
                                </w14:textFill>
                              </w:rPr>
                            </w:pPr>
                          </w:p>
                          <w:p>
                            <w:pPr>
                              <w:pStyle w:val="11"/>
                              <w:widowControl/>
                              <w:jc w:val="center"/>
                              <w:rPr>
                                <w:rFonts w:ascii="黑体" w:hAnsi="黑体" w:eastAsia="黑体" w:cs="黑体"/>
                                <w:color w:val="000000" w:themeColor="text1"/>
                                <w:sz w:val="96"/>
                                <w:szCs w:val="96"/>
                                <w14:textFill>
                                  <w14:solidFill>
                                    <w14:schemeClr w14:val="tx1"/>
                                  </w14:solidFill>
                                </w14:textFill>
                              </w:rPr>
                            </w:pPr>
                          </w:p>
                        </w:txbxContent>
                      </wps:txbx>
                      <wps:bodyPr>
                        <a:noAutofit/>
                      </wps:bodyPr>
                    </wps:wsp>
                  </a:graphicData>
                </a:graphic>
              </wp:anchor>
            </w:drawing>
          </mc:Choice>
          <mc:Fallback>
            <w:pict>
              <v:rect id="文本框 151" o:spid="_x0000_s1026" o:spt="1" style="position:absolute;left:0pt;margin-left:-85.7pt;margin-top:238.15pt;height:173.3pt;width:613.7pt;z-index:251659264;mso-width-relative:page;mso-height-relative:page;" filled="f" stroked="f" coordsize="21600,21600" o:allowincell="f" o:gfxdata="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TzM+94AAAANAQAADwAAAAAAAAABACAAAAAiAAAAZHJzL2Rvd25yZXYueG1sUEsB&#10;AhQAFAAAAAgAh07iQEm6fja2AQAAXwMAAA4AAAAAAAAAAQAgAAAALQEAAGRycy9lMm9Eb2MueG1s&#10;UEsFBgAAAAAGAAYAWQEAAFUFAAAAAA==&#10;">
                <v:fill on="f" focussize="0,0"/>
                <v:stroke on="f" weight="0.5pt"/>
                <v:imagedata o:title=""/>
                <o:lock v:ext="edit" aspectratio="f"/>
                <v:textbox>
                  <w:txbxContent>
                    <w:p>
                      <w:pPr>
                        <w:pStyle w:val="11"/>
                        <w:widowControl/>
                        <w:jc w:val="center"/>
                        <w:rPr>
                          <w:rFonts w:ascii="黑体" w:hAnsi="黑体" w:eastAsia="黑体" w:cs="黑体"/>
                          <w:color w:val="000000" w:themeColor="text1"/>
                          <w:sz w:val="96"/>
                          <w:szCs w:val="96"/>
                          <w14:textFill>
                            <w14:solidFill>
                              <w14:schemeClr w14:val="tx1"/>
                            </w14:solidFill>
                          </w14:textFill>
                        </w:rPr>
                      </w:pPr>
                    </w:p>
                    <w:p>
                      <w:pPr>
                        <w:pStyle w:val="11"/>
                        <w:widowControl/>
                        <w:jc w:val="center"/>
                        <w:rPr>
                          <w:rFonts w:ascii="黑体" w:hAnsi="黑体" w:eastAsia="黑体" w:cs="黑体"/>
                          <w:color w:val="000000" w:themeColor="text1"/>
                          <w:sz w:val="96"/>
                          <w:szCs w:val="96"/>
                          <w14:textFill>
                            <w14:solidFill>
                              <w14:schemeClr w14:val="tx1"/>
                            </w14:solidFill>
                          </w14:textFill>
                        </w:rPr>
                      </w:pPr>
                    </w:p>
                  </w:txbxContent>
                </v:textbox>
              </v:rect>
            </w:pict>
          </mc:Fallback>
        </mc:AlternateContent>
      </w:r>
    </w:p>
    <w:p>
      <w:pPr>
        <w:pStyle w:val="6"/>
        <w:widowControl/>
        <w:spacing w:before="0" w:after="160" w:line="580" w:lineRule="exact"/>
        <w:ind w:firstLine="1440"/>
        <w:rPr>
          <w:sz w:val="72"/>
        </w:rPr>
      </w:pPr>
    </w:p>
    <w:p>
      <w:pPr>
        <w:pStyle w:val="6"/>
        <w:widowControl/>
        <w:spacing w:before="0" w:after="160" w:line="580" w:lineRule="exact"/>
        <w:ind w:firstLine="1440"/>
        <w:rPr>
          <w:sz w:val="72"/>
        </w:rPr>
      </w:pPr>
    </w:p>
    <w:p>
      <w:pPr>
        <w:pStyle w:val="6"/>
        <w:widowControl/>
        <w:spacing w:before="0" w:after="160" w:line="580" w:lineRule="exact"/>
        <w:ind w:firstLine="1440"/>
        <w:rPr>
          <w:sz w:val="72"/>
        </w:rPr>
      </w:pPr>
    </w:p>
    <w:p>
      <w:pPr>
        <w:pStyle w:val="6"/>
        <w:widowControl/>
        <w:spacing w:before="0" w:after="160" w:line="580" w:lineRule="exact"/>
        <w:ind w:firstLine="1440"/>
        <w:rPr>
          <w:sz w:val="72"/>
        </w:rPr>
      </w:pPr>
    </w:p>
    <w:p>
      <w:pPr>
        <w:pStyle w:val="6"/>
        <w:widowControl/>
        <w:spacing w:before="0" w:after="160" w:line="580" w:lineRule="exact"/>
        <w:ind w:firstLine="1440"/>
        <w:rPr>
          <w:sz w:val="72"/>
        </w:rPr>
      </w:pPr>
    </w:p>
    <w:p>
      <w:pPr>
        <w:pStyle w:val="6"/>
        <w:widowControl/>
        <w:spacing w:before="0" w:after="160" w:line="580" w:lineRule="exact"/>
        <w:ind w:firstLine="1440"/>
        <w:rPr>
          <w:sz w:val="72"/>
        </w:rPr>
      </w:pPr>
    </w:p>
    <w:p>
      <w:pPr>
        <w:pStyle w:val="6"/>
        <w:jc w:val="center"/>
        <w:rPr>
          <w:rFonts w:ascii="黑体" w:hAnsi="黑体" w:eastAsia="黑体" w:cs="黑体"/>
          <w:sz w:val="56"/>
          <w:szCs w:val="72"/>
        </w:rPr>
      </w:pPr>
    </w:p>
    <w:p>
      <w:pPr>
        <w:pStyle w:val="6"/>
        <w:jc w:val="center"/>
        <w:rPr>
          <w:rFonts w:ascii="黑体" w:hAnsi="黑体" w:eastAsia="黑体" w:cs="黑体"/>
          <w:sz w:val="56"/>
          <w:szCs w:val="72"/>
        </w:rPr>
      </w:pPr>
    </w:p>
    <w:p>
      <w:pPr>
        <w:pStyle w:val="6"/>
        <w:jc w:val="center"/>
        <w:rPr>
          <w:rFonts w:ascii="黑体" w:hAnsi="黑体" w:eastAsia="黑体" w:cs="黑体"/>
          <w:sz w:val="56"/>
          <w:szCs w:val="72"/>
        </w:rPr>
      </w:pPr>
    </w:p>
    <w:p>
      <w:pPr>
        <w:pStyle w:val="6"/>
        <w:jc w:val="center"/>
        <w:rPr>
          <w:rFonts w:ascii="黑体" w:hAnsi="黑体" w:eastAsia="黑体" w:cs="黑体"/>
          <w:sz w:val="56"/>
          <w:szCs w:val="72"/>
        </w:rPr>
      </w:pPr>
    </w:p>
    <w:p>
      <w:pPr>
        <w:pStyle w:val="6"/>
        <w:jc w:val="center"/>
        <w:rPr>
          <w:rFonts w:ascii="黑体" w:hAnsi="黑体" w:eastAsia="黑体" w:cs="黑体"/>
          <w:sz w:val="56"/>
          <w:szCs w:val="72"/>
        </w:rPr>
      </w:pPr>
      <w:r>
        <w:rPr>
          <w:rFonts w:ascii="黑体" w:hAnsi="黑体" w:eastAsia="黑体" w:cs="黑体"/>
          <w:sz w:val="56"/>
          <w:szCs w:val="72"/>
        </w:rPr>
        <mc:AlternateContent>
          <mc:Choice Requires="wps">
            <w:drawing>
              <wp:anchor distT="0" distB="0" distL="0" distR="0" simplePos="0" relativeHeight="251659264" behindDoc="0" locked="0" layoutInCell="0" allowOverlap="1">
                <wp:simplePos x="0" y="0"/>
                <wp:positionH relativeFrom="column">
                  <wp:posOffset>-1153160</wp:posOffset>
                </wp:positionH>
                <wp:positionV relativeFrom="paragraph">
                  <wp:posOffset>55245</wp:posOffset>
                </wp:positionV>
                <wp:extent cx="7793990" cy="3342005"/>
                <wp:effectExtent l="4445" t="4445" r="12700" b="6985"/>
                <wp:wrapNone/>
                <wp:docPr id="24" name="文本框 15"/>
                <wp:cNvGraphicFramePr/>
                <a:graphic xmlns:a="http://schemas.openxmlformats.org/drawingml/2006/main">
                  <a:graphicData uri="http://schemas.microsoft.com/office/word/2010/wordprocessingShape">
                    <wps:wsp>
                      <wps:cNvSpPr/>
                      <wps:spPr>
                        <a:xfrm>
                          <a:off x="0" y="0"/>
                          <a:ext cx="7793280" cy="3341520"/>
                        </a:xfrm>
                        <a:prstGeom prst="rect">
                          <a:avLst/>
                        </a:prstGeom>
                        <a:pattFill prst="wdUpDiag">
                          <a:fgClr>
                            <a:srgbClr val="FFD966"/>
                          </a:fgClr>
                          <a:bgClr>
                            <a:srgbClr val="FFFFFF"/>
                          </a:bgClr>
                        </a:pattFill>
                        <a:ln w="6350">
                          <a:solidFill>
                            <a:srgbClr val="FFD966"/>
                          </a:solidFill>
                          <a:round/>
                        </a:ln>
                      </wps:spPr>
                      <wps:style>
                        <a:lnRef idx="0">
                          <a:srgbClr val="FFFFFF"/>
                        </a:lnRef>
                        <a:fillRef idx="0">
                          <a:srgbClr val="FFFFFF"/>
                        </a:fillRef>
                        <a:effectRef idx="0">
                          <a:srgbClr val="FFFFFF"/>
                        </a:effectRef>
                        <a:fontRef idx="minor"/>
                      </wps:style>
                      <wps:txbx>
                        <w:txbxContent>
                          <w:p>
                            <w:pPr>
                              <w:pStyle w:val="11"/>
                              <w:widowControl/>
                              <w:jc w:val="center"/>
                              <w:rPr>
                                <w:rFonts w:ascii="黑体" w:hAnsi="黑体" w:eastAsia="黑体" w:cs="黑体"/>
                                <w:color w:val="000000" w:themeColor="text1"/>
                                <w:sz w:val="90"/>
                                <w:szCs w:val="90"/>
                                <w14:textFill>
                                  <w14:solidFill>
                                    <w14:schemeClr w14:val="tx1"/>
                                  </w14:solidFill>
                                </w14:textFill>
                              </w:rPr>
                            </w:pPr>
                            <w:r>
                              <w:rPr>
                                <w:rFonts w:ascii="黑体" w:hAnsi="黑体" w:eastAsia="黑体" w:cs="黑体"/>
                                <w:color w:val="000000" w:themeColor="text1"/>
                                <w:sz w:val="90"/>
                                <w:szCs w:val="90"/>
                                <w14:textFill>
                                  <w14:solidFill>
                                    <w14:schemeClr w14:val="tx1"/>
                                  </w14:solidFill>
                                </w14:textFill>
                              </w:rPr>
                              <w:t xml:space="preserve">第二部分 </w:t>
                            </w:r>
                          </w:p>
                          <w:p>
                            <w:pPr>
                              <w:pStyle w:val="11"/>
                              <w:widowControl/>
                              <w:jc w:val="center"/>
                              <w:rPr>
                                <w:rFonts w:ascii="黑体" w:hAnsi="黑体" w:eastAsia="黑体" w:cs="黑体"/>
                                <w:color w:val="000000" w:themeColor="text1"/>
                                <w:sz w:val="90"/>
                                <w:szCs w:val="90"/>
                                <w14:textFill>
                                  <w14:solidFill>
                                    <w14:schemeClr w14:val="tx1"/>
                                  </w14:solidFill>
                                </w14:textFill>
                              </w:rPr>
                            </w:pPr>
                            <w:r>
                              <w:rPr>
                                <w:rFonts w:ascii="黑体" w:hAnsi="黑体" w:eastAsia="黑体" w:cs="黑体"/>
                                <w:color w:val="000000" w:themeColor="text1"/>
                                <w:sz w:val="90"/>
                                <w:szCs w:val="90"/>
                                <w14:textFill>
                                  <w14:solidFill>
                                    <w14:schemeClr w14:val="tx1"/>
                                  </w14:solidFill>
                                </w14:textFill>
                              </w:rPr>
                              <w:t>2019年部门决算情况说明</w:t>
                            </w:r>
                          </w:p>
                          <w:p>
                            <w:pPr>
                              <w:pStyle w:val="11"/>
                            </w:pPr>
                          </w:p>
                        </w:txbxContent>
                      </wps:txbx>
                      <wps:bodyPr anchor="ctr">
                        <a:noAutofit/>
                      </wps:bodyPr>
                    </wps:wsp>
                  </a:graphicData>
                </a:graphic>
              </wp:anchor>
            </w:drawing>
          </mc:Choice>
          <mc:Fallback>
            <w:pict>
              <v:rect id="文本框 15" o:spid="_x0000_s1026" o:spt="1" style="position:absolute;left:0pt;margin-left:-90.8pt;margin-top:4.35pt;height:263.15pt;width:613.7pt;z-index:251659264;v-text-anchor:middle;mso-width-relative:page;mso-height-relative:page;" fillcolor="#FFD966" filled="t" stroked="t" coordsize="21600,21600" o:allowincell="f" o:gfxdata="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NoyNfZAAAACwEAAA8AAAAAAAAAAQAgAAAAIgAAAGRycy9kb3du&#10;cmV2LnhtbFBLAQIUABQAAAAIAIdO4kBV6UnW/gEAABQEAAAOAAAAAAAAAAEAIAAAACgBAABkcnMv&#10;ZTJvRG9jLnhtbFBLBQYAAAAABgAGAFkBAACYBQAAAAA=&#10;">
                <v:fill type="pattern" on="t" color2="#FFFFFF" o:title="宽上对角线" focussize="0,0" r:id="rId15"/>
                <v:stroke weight="0.5pt" color="#FFD966" joinstyle="round"/>
                <v:imagedata o:title=""/>
                <o:lock v:ext="edit" aspectratio="f"/>
                <v:textbox>
                  <w:txbxContent>
                    <w:p>
                      <w:pPr>
                        <w:pStyle w:val="11"/>
                        <w:widowControl/>
                        <w:jc w:val="center"/>
                        <w:rPr>
                          <w:rFonts w:ascii="黑体" w:hAnsi="黑体" w:eastAsia="黑体" w:cs="黑体"/>
                          <w:color w:val="000000" w:themeColor="text1"/>
                          <w:sz w:val="90"/>
                          <w:szCs w:val="90"/>
                          <w14:textFill>
                            <w14:solidFill>
                              <w14:schemeClr w14:val="tx1"/>
                            </w14:solidFill>
                          </w14:textFill>
                        </w:rPr>
                      </w:pPr>
                      <w:r>
                        <w:rPr>
                          <w:rFonts w:ascii="黑体" w:hAnsi="黑体" w:eastAsia="黑体" w:cs="黑体"/>
                          <w:color w:val="000000" w:themeColor="text1"/>
                          <w:sz w:val="90"/>
                          <w:szCs w:val="90"/>
                          <w14:textFill>
                            <w14:solidFill>
                              <w14:schemeClr w14:val="tx1"/>
                            </w14:solidFill>
                          </w14:textFill>
                        </w:rPr>
                        <w:t xml:space="preserve">第二部分 </w:t>
                      </w:r>
                    </w:p>
                    <w:p>
                      <w:pPr>
                        <w:pStyle w:val="11"/>
                        <w:widowControl/>
                        <w:jc w:val="center"/>
                        <w:rPr>
                          <w:rFonts w:ascii="黑体" w:hAnsi="黑体" w:eastAsia="黑体" w:cs="黑体"/>
                          <w:color w:val="000000" w:themeColor="text1"/>
                          <w:sz w:val="90"/>
                          <w:szCs w:val="90"/>
                          <w14:textFill>
                            <w14:solidFill>
                              <w14:schemeClr w14:val="tx1"/>
                            </w14:solidFill>
                          </w14:textFill>
                        </w:rPr>
                      </w:pPr>
                      <w:r>
                        <w:rPr>
                          <w:rFonts w:ascii="黑体" w:hAnsi="黑体" w:eastAsia="黑体" w:cs="黑体"/>
                          <w:color w:val="000000" w:themeColor="text1"/>
                          <w:sz w:val="90"/>
                          <w:szCs w:val="90"/>
                          <w14:textFill>
                            <w14:solidFill>
                              <w14:schemeClr w14:val="tx1"/>
                            </w14:solidFill>
                          </w14:textFill>
                        </w:rPr>
                        <w:t>2019年部门决算情况说明</w:t>
                      </w:r>
                    </w:p>
                    <w:p>
                      <w:pPr>
                        <w:pStyle w:val="11"/>
                      </w:pPr>
                    </w:p>
                  </w:txbxContent>
                </v:textbox>
              </v:rect>
            </w:pict>
          </mc:Fallback>
        </mc:AlternateContent>
      </w:r>
    </w:p>
    <w:p>
      <w:pPr>
        <w:pStyle w:val="6"/>
        <w:jc w:val="center"/>
        <w:rPr>
          <w:rFonts w:ascii="黑体" w:hAnsi="黑体" w:eastAsia="黑体" w:cs="黑体"/>
          <w:sz w:val="56"/>
          <w:szCs w:val="72"/>
        </w:rPr>
      </w:pPr>
    </w:p>
    <w:p>
      <w:pPr>
        <w:pStyle w:val="6"/>
        <w:jc w:val="center"/>
        <w:rPr>
          <w:rFonts w:ascii="黑体" w:hAnsi="黑体" w:eastAsia="黑体" w:cs="黑体"/>
          <w:sz w:val="56"/>
          <w:szCs w:val="72"/>
        </w:rPr>
      </w:pPr>
    </w:p>
    <w:p>
      <w:pPr>
        <w:pStyle w:val="6"/>
        <w:jc w:val="center"/>
        <w:rPr>
          <w:rFonts w:ascii="黑体" w:hAnsi="黑体" w:eastAsia="黑体" w:cs="黑体"/>
          <w:sz w:val="56"/>
          <w:szCs w:val="72"/>
        </w:rPr>
      </w:pPr>
    </w:p>
    <w:p>
      <w:pPr>
        <w:pStyle w:val="6"/>
        <w:jc w:val="center"/>
        <w:rPr>
          <w:rFonts w:ascii="黑体" w:hAnsi="黑体" w:eastAsia="黑体" w:cs="黑体"/>
          <w:sz w:val="56"/>
          <w:szCs w:val="72"/>
        </w:rPr>
      </w:pPr>
    </w:p>
    <w:p>
      <w:pPr>
        <w:pStyle w:val="6"/>
        <w:jc w:val="center"/>
        <w:rPr>
          <w:rFonts w:ascii="黑体" w:hAnsi="黑体" w:eastAsia="黑体" w:cs="黑体"/>
          <w:sz w:val="56"/>
          <w:szCs w:val="72"/>
        </w:rPr>
      </w:pPr>
    </w:p>
    <w:p>
      <w:pPr>
        <w:pStyle w:val="6"/>
        <w:jc w:val="center"/>
        <w:rPr>
          <w:rFonts w:ascii="黑体" w:hAnsi="黑体" w:eastAsia="黑体" w:cs="黑体"/>
          <w:sz w:val="56"/>
          <w:szCs w:val="72"/>
        </w:rPr>
      </w:pPr>
    </w:p>
    <w:p>
      <w:pPr>
        <w:pStyle w:val="6"/>
        <w:jc w:val="center"/>
        <w:rPr>
          <w:rFonts w:ascii="黑体" w:hAnsi="黑体" w:eastAsia="黑体" w:cs="黑体"/>
          <w:sz w:val="56"/>
          <w:szCs w:val="72"/>
        </w:rPr>
      </w:pPr>
    </w:p>
    <w:p>
      <w:pPr>
        <w:pStyle w:val="6"/>
        <w:keepNext/>
        <w:keepLines/>
        <w:numPr>
          <w:ilvl w:val="0"/>
          <w:numId w:val="0"/>
        </w:numPr>
        <w:snapToGrid w:val="0"/>
        <w:spacing w:line="580" w:lineRule="exact"/>
        <w:ind w:firstLine="640"/>
        <w:outlineLvl w:val="1"/>
        <w:rPr>
          <w:rFonts w:ascii="黑体" w:hAnsi="黑体" w:eastAsia="黑体" w:cs="Times New Roman"/>
          <w:sz w:val="32"/>
          <w:szCs w:val="32"/>
        </w:rPr>
      </w:pPr>
    </w:p>
    <w:p>
      <w:pPr>
        <w:pStyle w:val="6"/>
        <w:keepNext/>
        <w:keepLines/>
        <w:numPr>
          <w:ilvl w:val="0"/>
          <w:numId w:val="0"/>
        </w:numPr>
        <w:snapToGrid w:val="0"/>
        <w:spacing w:line="580" w:lineRule="exact"/>
        <w:ind w:firstLine="640"/>
        <w:outlineLvl w:val="1"/>
        <w:rPr>
          <w:rFonts w:ascii="黑体" w:hAnsi="黑体" w:eastAsia="黑体" w:cs="Times New Roman"/>
          <w:sz w:val="32"/>
          <w:szCs w:val="32"/>
        </w:rPr>
      </w:pPr>
      <w:bookmarkStart w:id="0" w:name="_GoBack"/>
      <w:bookmarkEnd w:id="0"/>
      <w:r>
        <w:rPr>
          <w:rFonts w:ascii="黑体" w:hAnsi="黑体" w:eastAsia="黑体" w:cs="Times New Roman"/>
          <w:sz w:val="32"/>
          <w:szCs w:val="32"/>
        </w:rPr>
        <w:t>一、收入</w:t>
      </w:r>
      <w:r>
        <w:rPr>
          <w:rFonts w:ascii="黑体" w:hAnsi="黑体" w:eastAsia="黑体" w:cs="黑体"/>
          <w:kern w:val="0"/>
          <w:sz w:val="32"/>
          <w:szCs w:val="32"/>
        </w:rPr>
        <w:t>支出</w:t>
      </w:r>
      <w:r>
        <w:rPr>
          <w:rFonts w:ascii="黑体" w:hAnsi="黑体" w:eastAsia="黑体" w:cs="Times New Roman"/>
          <w:sz w:val="32"/>
          <w:szCs w:val="32"/>
        </w:rPr>
        <w:t>决算总体情况说明</w:t>
      </w:r>
    </w:p>
    <w:p>
      <w:pPr>
        <w:pStyle w:val="8"/>
        <w:spacing w:before="0" w:after="0" w:line="580" w:lineRule="exact"/>
        <w:ind w:firstLine="640"/>
        <w:rPr>
          <w:rFonts w:ascii="仿宋_GB2312" w:hAnsi="仿宋_GB2312" w:eastAsia="仿宋_GB2312" w:cs="DengXian-Regular"/>
          <w:sz w:val="32"/>
          <w:szCs w:val="32"/>
          <w:highlight w:val="yellow"/>
        </w:rPr>
      </w:pPr>
      <w:r>
        <w:rPr>
          <w:rFonts w:ascii="仿宋_GB2312" w:hAnsi="仿宋_GB2312" w:eastAsia="仿宋_GB2312" w:cs="DengXian-Regular"/>
          <w:b w:val="0"/>
          <w:bCs w:val="0"/>
        </w:rPr>
        <w:t>本部门</w:t>
      </w:r>
      <w:r>
        <w:rPr>
          <w:rFonts w:ascii="仿宋_GB2312" w:hAnsi="仿宋_GB2312" w:eastAsia="仿宋_GB2312" w:cs="DengXian-Regular"/>
          <w:b w:val="0"/>
          <w:bCs w:val="0"/>
          <w:lang w:eastAsia="zh-CN"/>
        </w:rPr>
        <w:t>2019</w:t>
      </w:r>
      <w:r>
        <w:rPr>
          <w:rFonts w:ascii="仿宋_GB2312" w:hAnsi="仿宋_GB2312" w:eastAsia="仿宋_GB2312" w:cs="DengXian-Regular"/>
          <w:b w:val="0"/>
          <w:bCs w:val="0"/>
        </w:rPr>
        <w:t>年度收</w:t>
      </w:r>
      <w:r>
        <w:rPr>
          <w:rFonts w:hint="eastAsia" w:ascii="仿宋_GB2312" w:hAnsi="仿宋_GB2312" w:eastAsia="仿宋_GB2312" w:cs="DengXian-Regular"/>
          <w:b w:val="0"/>
          <w:bCs w:val="0"/>
          <w:lang w:eastAsia="zh-CN"/>
        </w:rPr>
        <w:t>支</w:t>
      </w:r>
      <w:r>
        <w:rPr>
          <w:rFonts w:ascii="仿宋_GB2312" w:hAnsi="仿宋_GB2312" w:eastAsia="仿宋_GB2312" w:cs="DengXian-Regular"/>
          <w:b w:val="0"/>
          <w:bCs w:val="0"/>
        </w:rPr>
        <w:t>总计（含结转和结余）</w:t>
      </w:r>
      <w:r>
        <w:rPr>
          <w:rFonts w:ascii="仿宋_GB2312" w:hAnsi="仿宋_GB2312" w:eastAsia="仿宋_GB2312" w:cs="DengXian-Regular"/>
          <w:b w:val="0"/>
          <w:bCs w:val="0"/>
          <w:lang w:val="en-US" w:eastAsia="zh-CN"/>
        </w:rPr>
        <w:t>2886.86</w:t>
      </w:r>
      <w:r>
        <w:rPr>
          <w:rFonts w:ascii="仿宋_GB2312" w:hAnsi="仿宋_GB2312" w:eastAsia="仿宋_GB2312" w:cs="DengXian-Regular"/>
          <w:b w:val="0"/>
          <w:bCs w:val="0"/>
        </w:rPr>
        <w:t>万元</w:t>
      </w:r>
      <w:r>
        <w:rPr>
          <w:rFonts w:hint="eastAsia" w:ascii="仿宋_GB2312" w:hAnsi="仿宋_GB2312" w:eastAsia="仿宋_GB2312" w:cs="DengXian-Regular"/>
          <w:b w:val="0"/>
          <w:bCs w:val="0"/>
          <w:lang w:eastAsia="zh-CN"/>
        </w:rPr>
        <w:t>，</w:t>
      </w:r>
      <w:r>
        <w:rPr>
          <w:rFonts w:ascii="仿宋_GB2312" w:hAnsi="仿宋_GB2312" w:eastAsia="仿宋_GB2312" w:cs="DengXian-Regular"/>
          <w:b w:val="0"/>
          <w:bCs w:val="0"/>
        </w:rPr>
        <w:t>与201</w:t>
      </w:r>
      <w:r>
        <w:rPr>
          <w:rFonts w:ascii="仿宋_GB2312" w:hAnsi="仿宋_GB2312" w:eastAsia="仿宋_GB2312" w:cs="DengXian-Regular"/>
          <w:b w:val="0"/>
          <w:bCs w:val="0"/>
          <w:lang w:val="en-US" w:eastAsia="zh-CN"/>
        </w:rPr>
        <w:t>8</w:t>
      </w:r>
      <w:r>
        <w:rPr>
          <w:rFonts w:ascii="仿宋_GB2312" w:hAnsi="仿宋_GB2312" w:eastAsia="仿宋_GB2312" w:cs="DengXian-Regular"/>
          <w:b w:val="0"/>
          <w:bCs w:val="0"/>
        </w:rPr>
        <w:t>年度决算相比，收</w:t>
      </w:r>
      <w:r>
        <w:rPr>
          <w:rFonts w:hint="eastAsia" w:ascii="仿宋_GB2312" w:hAnsi="仿宋_GB2312" w:eastAsia="仿宋_GB2312" w:cs="DengXian-Regular"/>
          <w:b w:val="0"/>
          <w:bCs w:val="0"/>
          <w:lang w:eastAsia="zh-CN"/>
        </w:rPr>
        <w:t>支各</w:t>
      </w:r>
      <w:r>
        <w:rPr>
          <w:rFonts w:ascii="仿宋_GB2312" w:hAnsi="仿宋_GB2312" w:eastAsia="仿宋_GB2312" w:cs="DengXian-Regular"/>
          <w:b w:val="0"/>
          <w:bCs w:val="0"/>
        </w:rPr>
        <w:t>增加</w:t>
      </w:r>
      <w:r>
        <w:rPr>
          <w:rFonts w:hint="default" w:ascii="仿宋_GB2312" w:hAnsi="仿宋_GB2312" w:eastAsia="仿宋_GB2312" w:cs="DengXian-Regular"/>
          <w:b w:val="0"/>
          <w:bCs w:val="0"/>
          <w:lang w:val="en-US"/>
        </w:rPr>
        <w:t>799.26</w:t>
      </w:r>
      <w:r>
        <w:rPr>
          <w:rFonts w:ascii="仿宋_GB2312" w:hAnsi="仿宋_GB2312" w:eastAsia="仿宋_GB2312" w:cs="DengXian-Regular"/>
          <w:b w:val="0"/>
          <w:bCs w:val="0"/>
        </w:rPr>
        <w:t>万元</w:t>
      </w:r>
      <w:r>
        <w:rPr>
          <w:rFonts w:hint="eastAsia" w:ascii="仿宋_GB2312" w:hAnsi="仿宋_GB2312" w:eastAsia="仿宋_GB2312" w:cs="DengXian-Regular"/>
          <w:b w:val="0"/>
          <w:bCs w:val="0"/>
          <w:lang w:eastAsia="zh-CN"/>
        </w:rPr>
        <w:t>，</w:t>
      </w:r>
      <w:r>
        <w:rPr>
          <w:rFonts w:ascii="仿宋_GB2312" w:hAnsi="仿宋_GB2312" w:eastAsia="仿宋_GB2312" w:cs="DengXian-Regular"/>
          <w:b w:val="0"/>
          <w:bCs w:val="0"/>
        </w:rPr>
        <w:t>增长</w:t>
      </w:r>
      <w:r>
        <w:rPr>
          <w:rFonts w:hint="default" w:ascii="仿宋_GB2312" w:hAnsi="仿宋_GB2312" w:eastAsia="仿宋_GB2312" w:cs="DengXian-Regular"/>
          <w:b w:val="0"/>
          <w:bCs w:val="0"/>
          <w:lang w:val="en-US"/>
        </w:rPr>
        <w:t>38.3</w:t>
      </w:r>
      <w:r>
        <w:rPr>
          <w:rFonts w:ascii="仿宋_GB2312" w:hAnsi="仿宋_GB2312" w:eastAsia="仿宋_GB2312" w:cs="DengXian-Regular"/>
          <w:b w:val="0"/>
          <w:bCs w:val="0"/>
        </w:rPr>
        <w:t>%，主要原因是非煤矿山</w:t>
      </w:r>
      <w:r>
        <w:rPr>
          <w:rFonts w:ascii="仿宋_GB2312" w:hAnsi="仿宋_GB2312" w:eastAsia="仿宋_GB2312" w:cs="DengXian-Regular"/>
          <w:b w:val="0"/>
          <w:bCs w:val="0"/>
          <w:lang w:eastAsia="zh-CN"/>
        </w:rPr>
        <w:t>专</w:t>
      </w:r>
      <w:r>
        <w:rPr>
          <w:rFonts w:ascii="仿宋_GB2312" w:hAnsi="仿宋_GB2312" w:eastAsia="仿宋_GB2312" w:cs="DengXian-Regular"/>
          <w:b w:val="0"/>
          <w:bCs w:val="0"/>
        </w:rPr>
        <w:t>项整治经费</w:t>
      </w:r>
      <w:r>
        <w:rPr>
          <w:rFonts w:hint="eastAsia" w:ascii="仿宋_GB2312" w:hAnsi="仿宋_GB2312" w:eastAsia="仿宋_GB2312" w:cs="DengXian-Regular"/>
          <w:b w:val="0"/>
          <w:bCs w:val="0"/>
          <w:lang w:val="en-US" w:eastAsia="zh-CN"/>
        </w:rPr>
        <w:t>及</w:t>
      </w:r>
      <w:r>
        <w:rPr>
          <w:rFonts w:ascii="仿宋_GB2312" w:hAnsi="仿宋_GB2312" w:eastAsia="仿宋_GB2312" w:cs="DengXian-Regular"/>
          <w:b w:val="0"/>
          <w:bCs w:val="0"/>
          <w:sz w:val="32"/>
          <w:szCs w:val="32"/>
          <w:lang w:val="en-US" w:eastAsia="zh-CN"/>
        </w:rPr>
        <w:t>自然灾害救助资金</w:t>
      </w:r>
      <w:r>
        <w:rPr>
          <w:rFonts w:ascii="仿宋_GB2312" w:hAnsi="仿宋_GB2312" w:eastAsia="仿宋_GB2312" w:cs="DengXian-Regular"/>
          <w:b w:val="0"/>
          <w:bCs w:val="0"/>
        </w:rPr>
        <w:t>的增加。</w:t>
      </w:r>
    </w:p>
    <w:p>
      <w:pPr>
        <w:pStyle w:val="6"/>
        <w:keepNext/>
        <w:keepLines/>
        <w:numPr>
          <w:ilvl w:val="0"/>
          <w:numId w:val="0"/>
        </w:numPr>
        <w:snapToGrid w:val="0"/>
        <w:spacing w:line="580" w:lineRule="exact"/>
        <w:ind w:firstLine="640"/>
        <w:outlineLvl w:val="1"/>
        <w:rPr>
          <w:rFonts w:ascii="黑体" w:hAnsi="黑体" w:eastAsia="黑体" w:cs="Times New Roman"/>
          <w:sz w:val="32"/>
          <w:szCs w:val="32"/>
        </w:rPr>
      </w:pPr>
      <w:r>
        <w:rPr>
          <w:rFonts w:ascii="黑体" w:hAnsi="黑体" w:eastAsia="黑体" w:cs="Times New Roman"/>
          <w:sz w:val="32"/>
          <w:szCs w:val="32"/>
        </w:rPr>
        <w:t>二、收入决算情况说明</w:t>
      </w:r>
    </w:p>
    <w:p>
      <w:pPr>
        <w:pStyle w:val="6"/>
        <w:snapToGrid w:val="0"/>
        <w:spacing w:line="580" w:lineRule="exact"/>
        <w:ind w:firstLine="640"/>
        <w:rPr>
          <w:rFonts w:ascii="黑体" w:hAnsi="黑体" w:eastAsia="黑体" w:cs="Times New Roman"/>
          <w:b/>
          <w:bCs/>
          <w:sz w:val="32"/>
          <w:szCs w:val="32"/>
        </w:rPr>
      </w:pPr>
      <w:r>
        <w:rPr>
          <w:rFonts w:ascii="仿宋_GB2312" w:hAnsi="仿宋_GB2312" w:eastAsia="仿宋_GB2312" w:cs="DengXian-Regular"/>
          <w:sz w:val="32"/>
          <w:szCs w:val="32"/>
        </w:rPr>
        <w:t>本部门2019年度本年收入合计</w:t>
      </w:r>
      <w:r>
        <w:rPr>
          <w:rFonts w:ascii="仿宋_GB2312" w:hAnsi="仿宋_GB2312" w:eastAsia="仿宋_GB2312" w:cs="DengXian-Regular"/>
          <w:sz w:val="32"/>
          <w:szCs w:val="32"/>
          <w:lang w:val="en-US" w:eastAsia="zh-CN"/>
        </w:rPr>
        <w:t>2666.03</w:t>
      </w:r>
      <w:r>
        <w:rPr>
          <w:rFonts w:ascii="仿宋_GB2312" w:hAnsi="仿宋_GB2312" w:eastAsia="仿宋_GB2312" w:cs="DengXian-Regular"/>
          <w:sz w:val="32"/>
          <w:szCs w:val="32"/>
        </w:rPr>
        <w:t>万元，其中：财政拨款收入</w:t>
      </w:r>
      <w:r>
        <w:rPr>
          <w:rFonts w:ascii="仿宋_GB2312" w:hAnsi="仿宋_GB2312" w:eastAsia="仿宋_GB2312" w:cs="DengXian-Regular"/>
          <w:sz w:val="32"/>
          <w:szCs w:val="32"/>
          <w:lang w:val="en-US" w:eastAsia="zh-CN"/>
        </w:rPr>
        <w:t>2666.03</w:t>
      </w:r>
      <w:r>
        <w:rPr>
          <w:rFonts w:ascii="仿宋_GB2312" w:hAnsi="仿宋_GB2312" w:eastAsia="仿宋_GB2312" w:cs="DengXian-Regular"/>
          <w:sz w:val="32"/>
          <w:szCs w:val="32"/>
        </w:rPr>
        <w:t>万元，占</w:t>
      </w:r>
      <w:r>
        <w:rPr>
          <w:rFonts w:ascii="仿宋_GB2312" w:hAnsi="仿宋_GB2312" w:eastAsia="仿宋_GB2312" w:cs="DengXian-Regular"/>
          <w:sz w:val="32"/>
          <w:szCs w:val="32"/>
          <w:lang w:val="en-US" w:eastAsia="zh-CN"/>
        </w:rPr>
        <w:t>100</w:t>
      </w:r>
      <w:r>
        <w:rPr>
          <w:rFonts w:ascii="仿宋_GB2312" w:hAnsi="仿宋_GB2312" w:eastAsia="仿宋_GB2312" w:cs="DengXian-Regular"/>
          <w:sz w:val="32"/>
          <w:szCs w:val="32"/>
        </w:rPr>
        <w:t>%。</w:t>
      </w:r>
    </w:p>
    <w:p>
      <w:pPr>
        <w:pStyle w:val="6"/>
        <w:keepNext/>
        <w:keepLines/>
        <w:numPr>
          <w:ilvl w:val="0"/>
          <w:numId w:val="0"/>
        </w:numPr>
        <w:snapToGrid w:val="0"/>
        <w:spacing w:line="580" w:lineRule="exact"/>
        <w:ind w:firstLine="640"/>
        <w:outlineLvl w:val="1"/>
        <w:rPr>
          <w:rFonts w:ascii="黑体" w:hAnsi="黑体" w:eastAsia="黑体" w:cs="Times New Roman"/>
          <w:sz w:val="32"/>
          <w:szCs w:val="32"/>
        </w:rPr>
      </w:pPr>
      <w:r>
        <w:rPr>
          <w:rFonts w:ascii="黑体" w:hAnsi="黑体" w:eastAsia="黑体" w:cs="Times New Roman"/>
          <w:sz w:val="32"/>
          <w:szCs w:val="32"/>
        </w:rPr>
        <w:t>三、支出决算情况说明</w:t>
      </w:r>
    </w:p>
    <w:p>
      <w:pPr>
        <w:pStyle w:val="6"/>
        <w:snapToGrid w:val="0"/>
        <w:spacing w:line="580" w:lineRule="exact"/>
        <w:ind w:firstLine="640"/>
        <w:rPr>
          <w:rFonts w:ascii="仿宋_GB2312" w:hAnsi="仿宋_GB2312" w:eastAsia="仿宋_GB2312" w:cs="DengXian-Regular"/>
          <w:sz w:val="32"/>
          <w:szCs w:val="32"/>
          <w:lang w:val="en-US" w:eastAsia="zh-CN"/>
        </w:rPr>
      </w:pPr>
      <w:r>
        <w:rPr>
          <w:rFonts w:ascii="仿宋_GB2312" w:hAnsi="仿宋_GB2312" w:eastAsia="仿宋_GB2312" w:cs="DengXian-Regular"/>
          <w:sz w:val="32"/>
          <w:szCs w:val="32"/>
        </w:rPr>
        <w:t>本部门2019年度本年支出合计</w:t>
      </w:r>
      <w:r>
        <w:rPr>
          <w:rFonts w:ascii="仿宋_GB2312" w:hAnsi="仿宋_GB2312" w:eastAsia="仿宋_GB2312" w:cs="DengXian-Regular"/>
          <w:sz w:val="32"/>
          <w:szCs w:val="32"/>
          <w:lang w:val="en-US" w:eastAsia="zh-CN"/>
        </w:rPr>
        <w:t>2475.22</w:t>
      </w:r>
      <w:r>
        <w:rPr>
          <w:rFonts w:ascii="仿宋_GB2312" w:hAnsi="仿宋_GB2312" w:eastAsia="仿宋_GB2312" w:cs="DengXian-Regular"/>
          <w:sz w:val="32"/>
          <w:szCs w:val="32"/>
        </w:rPr>
        <w:t>万元，其中：基本支出</w:t>
      </w:r>
      <w:r>
        <w:rPr>
          <w:rFonts w:ascii="仿宋_GB2312" w:hAnsi="仿宋_GB2312" w:eastAsia="仿宋_GB2312" w:cs="DengXian-Regular"/>
          <w:sz w:val="32"/>
          <w:szCs w:val="32"/>
          <w:lang w:val="en-US" w:eastAsia="zh-CN"/>
        </w:rPr>
        <w:t>1416.92</w:t>
      </w:r>
      <w:r>
        <w:rPr>
          <w:rFonts w:ascii="仿宋_GB2312" w:hAnsi="仿宋_GB2312" w:eastAsia="仿宋_GB2312" w:cs="DengXian-Regular"/>
          <w:sz w:val="32"/>
          <w:szCs w:val="32"/>
        </w:rPr>
        <w:t>万元，占</w:t>
      </w:r>
      <w:r>
        <w:rPr>
          <w:rFonts w:ascii="仿宋_GB2312" w:hAnsi="仿宋_GB2312" w:eastAsia="仿宋_GB2312" w:cs="DengXian-Regular"/>
          <w:sz w:val="32"/>
          <w:szCs w:val="32"/>
          <w:lang w:val="en-US" w:eastAsia="zh-CN"/>
        </w:rPr>
        <w:t>57</w:t>
      </w:r>
      <w:r>
        <w:rPr>
          <w:rFonts w:ascii="仿宋_GB2312" w:hAnsi="仿宋_GB2312" w:eastAsia="仿宋_GB2312" w:cs="DengXian-Regular"/>
          <w:sz w:val="32"/>
          <w:szCs w:val="32"/>
        </w:rPr>
        <w:t>%；项目支出</w:t>
      </w:r>
      <w:r>
        <w:rPr>
          <w:rFonts w:ascii="仿宋_GB2312" w:hAnsi="仿宋_GB2312" w:eastAsia="仿宋_GB2312" w:cs="DengXian-Regular"/>
          <w:sz w:val="32"/>
          <w:szCs w:val="32"/>
          <w:lang w:val="en-US" w:eastAsia="zh-CN"/>
        </w:rPr>
        <w:t>1058.3</w:t>
      </w:r>
      <w:r>
        <w:rPr>
          <w:rFonts w:ascii="仿宋_GB2312" w:hAnsi="仿宋_GB2312" w:eastAsia="仿宋_GB2312" w:cs="DengXian-Regular"/>
          <w:sz w:val="32"/>
          <w:szCs w:val="32"/>
        </w:rPr>
        <w:t>万元，占</w:t>
      </w:r>
      <w:r>
        <w:rPr>
          <w:rFonts w:ascii="仿宋_GB2312" w:hAnsi="仿宋_GB2312" w:eastAsia="仿宋_GB2312" w:cs="DengXian-Regular"/>
          <w:sz w:val="32"/>
          <w:szCs w:val="32"/>
          <w:lang w:val="en-US" w:eastAsia="zh-CN"/>
        </w:rPr>
        <w:t>43%。</w:t>
      </w:r>
    </w:p>
    <w:p>
      <w:pPr>
        <w:pStyle w:val="6"/>
        <w:snapToGrid w:val="0"/>
        <w:spacing w:line="580" w:lineRule="exact"/>
        <w:ind w:firstLine="640"/>
        <w:rPr>
          <w:rFonts w:ascii="仿宋_GB2312" w:hAnsi="仿宋_GB2312" w:eastAsia="仿宋_GB2312" w:cs="DengXian-Regular"/>
          <w:sz w:val="32"/>
          <w:szCs w:val="32"/>
          <w:lang w:val="en-US" w:eastAsia="zh-CN"/>
        </w:rPr>
      </w:pPr>
    </w:p>
    <w:p>
      <w:pPr>
        <w:pStyle w:val="6"/>
        <w:snapToGrid w:val="0"/>
        <w:spacing w:line="240" w:lineRule="auto"/>
        <w:ind w:firstLine="1920"/>
        <w:rPr>
          <w:rFonts w:ascii="仿宋_GB2312" w:hAnsi="仿宋_GB2312" w:eastAsia="仿宋_GB2312" w:cs="DengXian-Regular"/>
          <w:sz w:val="32"/>
          <w:szCs w:val="32"/>
          <w:lang w:eastAsia="zh-CN"/>
        </w:rPr>
      </w:pPr>
      <w:r>
        <w:drawing>
          <wp:inline distT="0" distB="0" distL="0" distR="0">
            <wp:extent cx="3561715" cy="2019935"/>
            <wp:effectExtent l="0" t="0" r="0" b="0"/>
            <wp:docPr id="25" name="图片 3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8" descr="图片1"/>
                    <pic:cNvPicPr>
                      <a:picLocks noChangeAspect="1" noChangeArrowheads="1"/>
                    </pic:cNvPicPr>
                  </pic:nvPicPr>
                  <pic:blipFill>
                    <a:blip r:embed="rId16"/>
                    <a:stretch>
                      <a:fillRect/>
                    </a:stretch>
                  </pic:blipFill>
                  <pic:spPr>
                    <a:xfrm>
                      <a:off x="0" y="0"/>
                      <a:ext cx="3561715" cy="2019935"/>
                    </a:xfrm>
                    <a:prstGeom prst="rect">
                      <a:avLst/>
                    </a:prstGeom>
                  </pic:spPr>
                </pic:pic>
              </a:graphicData>
            </a:graphic>
          </wp:inline>
        </w:drawing>
      </w:r>
    </w:p>
    <w:p>
      <w:pPr>
        <w:pStyle w:val="6"/>
        <w:snapToGrid w:val="0"/>
        <w:spacing w:line="580" w:lineRule="exact"/>
        <w:ind w:firstLine="1920"/>
        <w:rPr>
          <w:rFonts w:ascii="仿宋_GB2312" w:hAnsi="仿宋_GB2312" w:eastAsia="仿宋_GB2312" w:cs="DengXian-Regular"/>
          <w:sz w:val="32"/>
          <w:szCs w:val="32"/>
        </w:rPr>
      </w:pPr>
    </w:p>
    <w:p>
      <w:pPr>
        <w:pStyle w:val="6"/>
        <w:keepNext/>
        <w:keepLines/>
        <w:numPr>
          <w:ilvl w:val="0"/>
          <w:numId w:val="0"/>
        </w:numPr>
        <w:snapToGrid w:val="0"/>
        <w:spacing w:line="580" w:lineRule="exact"/>
        <w:ind w:firstLine="640"/>
        <w:outlineLvl w:val="1"/>
        <w:rPr>
          <w:rFonts w:ascii="黑体" w:hAnsi="黑体" w:eastAsia="黑体" w:cs="Times New Roman"/>
          <w:sz w:val="32"/>
          <w:szCs w:val="32"/>
        </w:rPr>
      </w:pPr>
      <w:r>
        <w:rPr>
          <w:rFonts w:ascii="黑体" w:hAnsi="黑体" w:eastAsia="黑体" w:cs="Times New Roman"/>
          <w:sz w:val="32"/>
          <w:szCs w:val="32"/>
        </w:rPr>
        <w:t>四、</w:t>
      </w:r>
      <w:r>
        <w:rPr>
          <w:rFonts w:ascii="黑体" w:hAnsi="黑体" w:eastAsia="黑体" w:cs="黑体"/>
          <w:kern w:val="0"/>
          <w:sz w:val="32"/>
          <w:szCs w:val="32"/>
        </w:rPr>
        <w:t>财政</w:t>
      </w:r>
      <w:r>
        <w:rPr>
          <w:rFonts w:ascii="黑体" w:hAnsi="黑体" w:eastAsia="黑体" w:cs="Times New Roman"/>
          <w:sz w:val="32"/>
          <w:szCs w:val="32"/>
        </w:rPr>
        <w:t>拨款收入支出决算总体情况说明</w:t>
      </w:r>
    </w:p>
    <w:p>
      <w:pPr>
        <w:pStyle w:val="6"/>
        <w:snapToGrid w:val="0"/>
        <w:spacing w:line="580" w:lineRule="exact"/>
        <w:ind w:firstLine="643"/>
        <w:rPr>
          <w:rFonts w:ascii="楷体_GB2312" w:hAnsi="楷体_GB2312" w:eastAsia="楷体_GB2312" w:cs="DengXian-Bold"/>
          <w:b/>
          <w:bCs/>
          <w:sz w:val="32"/>
          <w:szCs w:val="32"/>
        </w:rPr>
      </w:pPr>
      <w:r>
        <w:rPr>
          <w:rFonts w:ascii="楷体_GB2312" w:hAnsi="楷体_GB2312" w:eastAsia="楷体_GB2312" w:cs="DengXian-Bold"/>
          <w:b/>
          <w:bCs/>
          <w:sz w:val="32"/>
          <w:szCs w:val="32"/>
        </w:rPr>
        <w:t>（一）财政拨款收支与2018 年度决算对比情况</w:t>
      </w:r>
    </w:p>
    <w:p>
      <w:pPr>
        <w:pStyle w:val="6"/>
        <w:snapToGrid w:val="0"/>
        <w:spacing w:before="0" w:after="0" w:line="580" w:lineRule="exact"/>
        <w:ind w:firstLine="640"/>
        <w:rPr>
          <w:rFonts w:ascii="仿宋_GB2312" w:hAnsi="仿宋_GB2312" w:eastAsia="仿宋_GB2312" w:cs="DengXian-Regular"/>
          <w:sz w:val="32"/>
          <w:szCs w:val="32"/>
        </w:rPr>
      </w:pPr>
      <w:r>
        <w:rPr>
          <w:rFonts w:ascii="仿宋_GB2312" w:hAnsi="仿宋_GB2312" w:eastAsia="仿宋_GB2312" w:cs="DengXian-Regular"/>
          <w:sz w:val="32"/>
          <w:szCs w:val="32"/>
        </w:rPr>
        <w:t>本部门</w:t>
      </w:r>
      <w:r>
        <w:rPr>
          <w:rFonts w:ascii="仿宋_GB2312" w:hAnsi="仿宋_GB2312" w:eastAsia="仿宋_GB2312" w:cs="DengXian-Regular"/>
          <w:sz w:val="32"/>
          <w:szCs w:val="32"/>
          <w:lang w:eastAsia="zh-CN"/>
        </w:rPr>
        <w:t>2019</w:t>
      </w:r>
      <w:r>
        <w:rPr>
          <w:rFonts w:ascii="仿宋_GB2312" w:hAnsi="仿宋_GB2312" w:eastAsia="仿宋_GB2312" w:cs="DengXian-Regular"/>
          <w:sz w:val="32"/>
          <w:szCs w:val="32"/>
        </w:rPr>
        <w:t>年度形成的财政拨款收支均为一般公共预算财政拨款，其中一般公共预算财政拨款本年收入</w:t>
      </w:r>
      <w:r>
        <w:rPr>
          <w:rFonts w:ascii="仿宋_GB2312" w:hAnsi="仿宋_GB2312" w:eastAsia="仿宋_GB2312" w:cs="DengXian-Regular"/>
          <w:sz w:val="32"/>
          <w:szCs w:val="32"/>
          <w:lang w:val="en-US" w:eastAsia="zh-CN"/>
        </w:rPr>
        <w:t>2666.03</w:t>
      </w:r>
      <w:r>
        <w:rPr>
          <w:rFonts w:ascii="仿宋_GB2312" w:hAnsi="仿宋_GB2312" w:eastAsia="仿宋_GB2312" w:cs="DengXian-Regular"/>
          <w:sz w:val="32"/>
          <w:szCs w:val="32"/>
        </w:rPr>
        <w:t>万元,比201</w:t>
      </w:r>
      <w:r>
        <w:rPr>
          <w:rFonts w:ascii="仿宋_GB2312" w:hAnsi="仿宋_GB2312" w:eastAsia="仿宋_GB2312" w:cs="DengXian-Regular"/>
          <w:sz w:val="32"/>
          <w:szCs w:val="32"/>
          <w:lang w:val="en-US" w:eastAsia="zh-CN"/>
        </w:rPr>
        <w:t>8</w:t>
      </w:r>
      <w:r>
        <w:rPr>
          <w:rFonts w:ascii="仿宋_GB2312" w:hAnsi="仿宋_GB2312" w:eastAsia="仿宋_GB2312" w:cs="DengXian-Regular"/>
          <w:sz w:val="32"/>
          <w:szCs w:val="32"/>
        </w:rPr>
        <w:t>年度</w:t>
      </w:r>
      <w:r>
        <w:rPr>
          <w:rFonts w:ascii="仿宋_GB2312" w:hAnsi="仿宋_GB2312" w:eastAsia="仿宋_GB2312" w:cs="DengXian-Regular"/>
          <w:sz w:val="32"/>
          <w:szCs w:val="32"/>
          <w:lang w:val="en-US" w:eastAsia="zh-CN"/>
        </w:rPr>
        <w:t>1255.81</w:t>
      </w:r>
      <w:r>
        <w:rPr>
          <w:rFonts w:ascii="仿宋_GB2312" w:hAnsi="仿宋_GB2312" w:eastAsia="仿宋_GB2312" w:cs="DengXian-Regular"/>
          <w:sz w:val="32"/>
          <w:szCs w:val="32"/>
        </w:rPr>
        <w:t>万元，</w:t>
      </w:r>
      <w:r>
        <w:rPr>
          <w:rFonts w:ascii="仿宋_GB2312" w:hAnsi="仿宋_GB2312" w:eastAsia="仿宋_GB2312" w:cs="DengXian-Regular"/>
          <w:sz w:val="32"/>
          <w:szCs w:val="32"/>
          <w:lang w:eastAsia="zh-CN"/>
        </w:rPr>
        <w:t>增长</w:t>
      </w:r>
      <w:r>
        <w:rPr>
          <w:rFonts w:ascii="仿宋_GB2312" w:hAnsi="仿宋_GB2312" w:eastAsia="仿宋_GB2312" w:cs="DengXian-Regular"/>
          <w:sz w:val="32"/>
          <w:szCs w:val="32"/>
          <w:lang w:val="en-US" w:eastAsia="zh-CN"/>
        </w:rPr>
        <w:t>89.06</w:t>
      </w:r>
      <w:r>
        <w:rPr>
          <w:rFonts w:ascii="仿宋_GB2312" w:hAnsi="仿宋_GB2312" w:eastAsia="仿宋_GB2312" w:cs="DengXian-Regular"/>
          <w:sz w:val="32"/>
          <w:szCs w:val="32"/>
        </w:rPr>
        <w:t>%，主要是</w:t>
      </w:r>
      <w:r>
        <w:rPr>
          <w:rFonts w:ascii="仿宋_GB2312" w:hAnsi="仿宋_GB2312" w:eastAsia="仿宋_GB2312" w:cs="DengXian-Regular"/>
          <w:sz w:val="32"/>
          <w:szCs w:val="32"/>
          <w:lang w:val="en-US" w:eastAsia="zh-CN"/>
        </w:rPr>
        <w:t>2019年我局机构改革，增加人员经费、自然灾害救助资金、</w:t>
      </w:r>
      <w:r>
        <w:rPr>
          <w:rFonts w:ascii="仿宋_GB2312" w:hAnsi="仿宋_GB2312" w:eastAsia="仿宋_GB2312" w:cs="DengXian-Regular"/>
          <w:sz w:val="32"/>
          <w:szCs w:val="32"/>
        </w:rPr>
        <w:t>非煤矿山专项整治经费；本年支出</w:t>
      </w:r>
      <w:r>
        <w:rPr>
          <w:rFonts w:ascii="仿宋_GB2312" w:hAnsi="仿宋_GB2312" w:eastAsia="仿宋_GB2312" w:cs="DengXian-Regular"/>
          <w:sz w:val="32"/>
          <w:szCs w:val="32"/>
          <w:lang w:val="en-US" w:eastAsia="zh-CN"/>
        </w:rPr>
        <w:t>2475.22</w:t>
      </w:r>
      <w:r>
        <w:rPr>
          <w:rFonts w:ascii="仿宋_GB2312" w:hAnsi="仿宋_GB2312" w:eastAsia="仿宋_GB2312" w:cs="DengXian-Regular"/>
          <w:sz w:val="32"/>
          <w:szCs w:val="32"/>
        </w:rPr>
        <w:t>万元，增加</w:t>
      </w:r>
      <w:r>
        <w:rPr>
          <w:rFonts w:ascii="仿宋_GB2312" w:hAnsi="仿宋_GB2312" w:eastAsia="仿宋_GB2312" w:cs="DengXian-Regular"/>
          <w:sz w:val="32"/>
          <w:szCs w:val="32"/>
          <w:lang w:val="en-US" w:eastAsia="zh-CN"/>
        </w:rPr>
        <w:t>617</w:t>
      </w:r>
      <w:r>
        <w:rPr>
          <w:rFonts w:ascii="仿宋_GB2312" w:hAnsi="仿宋_GB2312" w:eastAsia="仿宋_GB2312" w:cs="DengXian-Regular"/>
          <w:sz w:val="32"/>
          <w:szCs w:val="32"/>
        </w:rPr>
        <w:t>万元，增长</w:t>
      </w:r>
      <w:r>
        <w:rPr>
          <w:rFonts w:ascii="仿宋_GB2312" w:hAnsi="仿宋_GB2312" w:eastAsia="仿宋_GB2312" w:cs="DengXian-Regular"/>
          <w:sz w:val="32"/>
          <w:szCs w:val="32"/>
          <w:lang w:val="en-US" w:eastAsia="zh-CN"/>
        </w:rPr>
        <w:t>33</w:t>
      </w:r>
      <w:r>
        <w:rPr>
          <w:rFonts w:ascii="仿宋_GB2312" w:hAnsi="仿宋_GB2312" w:eastAsia="仿宋_GB2312" w:cs="DengXian-Regular"/>
          <w:sz w:val="32"/>
          <w:szCs w:val="32"/>
        </w:rPr>
        <w:t>%，主要是</w:t>
      </w:r>
      <w:r>
        <w:rPr>
          <w:rFonts w:ascii="仿宋_GB2312" w:hAnsi="仿宋_GB2312" w:eastAsia="仿宋_GB2312" w:cs="DengXian-Regular"/>
          <w:sz w:val="32"/>
          <w:szCs w:val="32"/>
          <w:lang w:eastAsia="zh-CN"/>
        </w:rPr>
        <w:t>人员经费、非煤矿山专项整治经费、自然灾害专项经费等</w:t>
      </w:r>
      <w:r>
        <w:rPr>
          <w:rFonts w:ascii="仿宋_GB2312" w:hAnsi="仿宋_GB2312" w:eastAsia="仿宋_GB2312" w:cs="DengXian-Regular"/>
          <w:sz w:val="32"/>
          <w:szCs w:val="32"/>
        </w:rPr>
        <w:t>。</w:t>
      </w:r>
    </w:p>
    <w:p>
      <w:pPr>
        <w:pStyle w:val="6"/>
        <w:snapToGrid w:val="0"/>
        <w:spacing w:before="0" w:after="0" w:line="240" w:lineRule="auto"/>
        <w:ind w:firstLine="640"/>
        <w:rPr>
          <w:rFonts w:ascii="仿宋_GB2312" w:hAnsi="仿宋_GB2312" w:eastAsia="仿宋_GB2312" w:cs="DengXian-Regular"/>
          <w:sz w:val="32"/>
          <w:szCs w:val="32"/>
          <w:lang w:eastAsia="zh-CN"/>
        </w:rPr>
      </w:pPr>
      <w:r>
        <w:drawing>
          <wp:inline distT="0" distB="0" distL="0" distR="0">
            <wp:extent cx="4498975" cy="2018030"/>
            <wp:effectExtent l="0" t="0" r="0" b="0"/>
            <wp:docPr id="26" name="图片 63"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3" descr="图片4"/>
                    <pic:cNvPicPr>
                      <a:picLocks noChangeAspect="1" noChangeArrowheads="1"/>
                    </pic:cNvPicPr>
                  </pic:nvPicPr>
                  <pic:blipFill>
                    <a:blip r:embed="rId17"/>
                    <a:stretch>
                      <a:fillRect/>
                    </a:stretch>
                  </pic:blipFill>
                  <pic:spPr>
                    <a:xfrm>
                      <a:off x="0" y="0"/>
                      <a:ext cx="4498975" cy="2018030"/>
                    </a:xfrm>
                    <a:prstGeom prst="rect">
                      <a:avLst/>
                    </a:prstGeom>
                  </pic:spPr>
                </pic:pic>
              </a:graphicData>
            </a:graphic>
          </wp:inline>
        </w:drawing>
      </w:r>
    </w:p>
    <w:p>
      <w:pPr>
        <w:pStyle w:val="6"/>
        <w:snapToGrid w:val="0"/>
        <w:spacing w:line="580" w:lineRule="exact"/>
        <w:ind w:firstLine="643"/>
        <w:rPr>
          <w:rFonts w:ascii="仿宋_GB2312" w:hAnsi="仿宋_GB2312" w:eastAsia="仿宋_GB2312" w:cs="DengXian-Bold"/>
          <w:b/>
          <w:bCs/>
          <w:sz w:val="32"/>
          <w:szCs w:val="32"/>
        </w:rPr>
      </w:pPr>
      <w:r>
        <w:rPr>
          <w:rFonts w:ascii="楷体" w:hAnsi="楷体" w:eastAsia="楷体" w:cs="楷体"/>
          <w:b/>
          <w:bCs/>
          <w:sz w:val="32"/>
          <w:szCs w:val="32"/>
        </w:rPr>
        <w:tab/>
      </w:r>
      <w:r>
        <w:rPr>
          <w:rFonts w:ascii="楷体_GB2312" w:hAnsi="楷体_GB2312" w:eastAsia="楷体_GB2312" w:cs="DengXian-Bold"/>
          <w:b/>
          <w:bCs/>
          <w:sz w:val="32"/>
          <w:szCs w:val="32"/>
        </w:rPr>
        <w:t>（二）财政拨款收支与年初预算数对比情况</w:t>
      </w:r>
    </w:p>
    <w:p>
      <w:pPr>
        <w:pStyle w:val="6"/>
        <w:snapToGrid w:val="0"/>
        <w:spacing w:line="580" w:lineRule="exact"/>
        <w:ind w:firstLine="640"/>
        <w:rPr>
          <w:rFonts w:ascii="仿宋_GB2312" w:hAnsi="仿宋_GB2312" w:eastAsia="仿宋_GB2312" w:cs="DengXian-Regular"/>
          <w:sz w:val="32"/>
          <w:szCs w:val="32"/>
        </w:rPr>
      </w:pPr>
      <w:r>
        <w:rPr>
          <w:rFonts w:ascii="仿宋_GB2312" w:hAnsi="仿宋_GB2312" w:eastAsia="仿宋_GB2312" w:cs="DengXian-Regular"/>
          <w:sz w:val="32"/>
          <w:szCs w:val="32"/>
        </w:rPr>
        <w:t>本部门2019年度一般公共预算财政拨款收入</w:t>
      </w:r>
      <w:r>
        <w:rPr>
          <w:rFonts w:ascii="仿宋_GB2312" w:hAnsi="仿宋_GB2312" w:eastAsia="仿宋_GB2312" w:cs="DengXian-Regular"/>
          <w:sz w:val="32"/>
          <w:szCs w:val="32"/>
          <w:lang w:val="en-US" w:eastAsia="zh-CN"/>
        </w:rPr>
        <w:t>2666.03</w:t>
      </w:r>
      <w:r>
        <w:rPr>
          <w:rFonts w:ascii="仿宋_GB2312" w:hAnsi="仿宋_GB2312" w:eastAsia="仿宋_GB2312" w:cs="DengXian-Regular"/>
          <w:sz w:val="32"/>
          <w:szCs w:val="32"/>
        </w:rPr>
        <w:t>万元，完成年初预算的</w:t>
      </w:r>
      <w:r>
        <w:rPr>
          <w:rFonts w:ascii="仿宋_GB2312" w:hAnsi="仿宋_GB2312" w:eastAsia="仿宋_GB2312" w:cs="DengXian-Regular"/>
          <w:sz w:val="32"/>
          <w:szCs w:val="32"/>
          <w:lang w:val="en-US" w:eastAsia="zh-CN"/>
        </w:rPr>
        <w:t>156</w:t>
      </w:r>
      <w:r>
        <w:rPr>
          <w:rFonts w:ascii="仿宋_GB2312" w:hAnsi="仿宋_GB2312" w:eastAsia="仿宋_GB2312" w:cs="DengXian-Regular"/>
          <w:sz w:val="32"/>
          <w:szCs w:val="32"/>
        </w:rPr>
        <w:t>%,比年初预算增加</w:t>
      </w:r>
      <w:r>
        <w:rPr>
          <w:rFonts w:ascii="仿宋_GB2312" w:hAnsi="仿宋_GB2312" w:eastAsia="仿宋_GB2312" w:cs="DengXian-Regular"/>
          <w:sz w:val="32"/>
          <w:szCs w:val="32"/>
          <w:lang w:val="en-US" w:eastAsia="zh-CN"/>
        </w:rPr>
        <w:t>959.52</w:t>
      </w:r>
      <w:r>
        <w:rPr>
          <w:rFonts w:ascii="仿宋_GB2312" w:hAnsi="仿宋_GB2312" w:eastAsia="仿宋_GB2312" w:cs="DengXian-Regular"/>
          <w:sz w:val="32"/>
          <w:szCs w:val="32"/>
        </w:rPr>
        <w:t>万元，决算数大于预算数主要原因是</w:t>
      </w:r>
      <w:r>
        <w:rPr>
          <w:rFonts w:ascii="仿宋_GB2312" w:hAnsi="仿宋_GB2312" w:eastAsia="仿宋_GB2312" w:cs="DengXian-Regular"/>
          <w:sz w:val="32"/>
          <w:szCs w:val="32"/>
          <w:lang w:val="en-US" w:eastAsia="zh-CN"/>
        </w:rPr>
        <w:t>人员经费、自然灾害救助资金、</w:t>
      </w:r>
      <w:r>
        <w:rPr>
          <w:rFonts w:ascii="仿宋_GB2312" w:hAnsi="仿宋_GB2312" w:eastAsia="仿宋_GB2312" w:cs="DengXian-Regular"/>
          <w:sz w:val="32"/>
          <w:szCs w:val="32"/>
        </w:rPr>
        <w:t>非煤矿山专项整治经费；本年支出</w:t>
      </w:r>
      <w:r>
        <w:rPr>
          <w:rFonts w:ascii="仿宋_GB2312" w:hAnsi="仿宋_GB2312" w:eastAsia="仿宋_GB2312" w:cs="DengXian-Regular"/>
          <w:sz w:val="32"/>
          <w:szCs w:val="32"/>
          <w:lang w:val="en-US" w:eastAsia="zh-CN"/>
        </w:rPr>
        <w:t>2475.22</w:t>
      </w:r>
      <w:r>
        <w:rPr>
          <w:rFonts w:ascii="仿宋_GB2312" w:hAnsi="仿宋_GB2312" w:eastAsia="仿宋_GB2312" w:cs="DengXian-Regular"/>
          <w:sz w:val="32"/>
          <w:szCs w:val="32"/>
        </w:rPr>
        <w:t>万元，完成年初预算的</w:t>
      </w:r>
      <w:r>
        <w:rPr>
          <w:rFonts w:ascii="仿宋_GB2312" w:hAnsi="仿宋_GB2312" w:eastAsia="仿宋_GB2312" w:cs="DengXian-Regular"/>
          <w:sz w:val="32"/>
          <w:szCs w:val="32"/>
          <w:lang w:val="en-US" w:eastAsia="zh-CN"/>
        </w:rPr>
        <w:t>145</w:t>
      </w:r>
      <w:r>
        <w:rPr>
          <w:rFonts w:ascii="仿宋_GB2312" w:hAnsi="仿宋_GB2312" w:eastAsia="仿宋_GB2312" w:cs="DengXian-Regular"/>
          <w:sz w:val="32"/>
          <w:szCs w:val="32"/>
        </w:rPr>
        <w:t>%,比年初预算增加</w:t>
      </w:r>
      <w:r>
        <w:rPr>
          <w:rFonts w:ascii="仿宋_GB2312" w:hAnsi="仿宋_GB2312" w:eastAsia="仿宋_GB2312" w:cs="DengXian-Regular"/>
          <w:sz w:val="32"/>
          <w:szCs w:val="32"/>
          <w:lang w:val="en-US" w:eastAsia="zh-CN"/>
        </w:rPr>
        <w:t>768.71</w:t>
      </w:r>
      <w:r>
        <w:rPr>
          <w:rFonts w:ascii="仿宋_GB2312" w:hAnsi="仿宋_GB2312" w:eastAsia="仿宋_GB2312" w:cs="DengXian-Regular"/>
          <w:sz w:val="32"/>
          <w:szCs w:val="32"/>
        </w:rPr>
        <w:t>万元，决算数大于预算数主要原因是主要是</w:t>
      </w:r>
      <w:r>
        <w:rPr>
          <w:rFonts w:ascii="仿宋_GB2312" w:hAnsi="仿宋_GB2312" w:eastAsia="仿宋_GB2312" w:cs="DengXian-Regular"/>
          <w:sz w:val="32"/>
          <w:szCs w:val="32"/>
          <w:lang w:eastAsia="zh-CN"/>
        </w:rPr>
        <w:t>人员经费、非煤矿山专项整治经费、自然灾害专项经费等</w:t>
      </w:r>
      <w:r>
        <w:rPr>
          <w:rFonts w:ascii="仿宋_GB2312" w:hAnsi="仿宋_GB2312" w:eastAsia="仿宋_GB2312" w:cs="DengXian-Regular"/>
          <w:sz w:val="32"/>
          <w:szCs w:val="32"/>
        </w:rPr>
        <w:t>。</w:t>
      </w:r>
    </w:p>
    <w:p>
      <w:pPr>
        <w:pStyle w:val="6"/>
        <w:numPr>
          <w:ilvl w:val="0"/>
          <w:numId w:val="1"/>
        </w:numPr>
        <w:snapToGrid w:val="0"/>
        <w:spacing w:line="580" w:lineRule="exact"/>
        <w:ind w:left="420" w:firstLine="0"/>
        <w:rPr>
          <w:rFonts w:ascii="楷体_GB2312" w:hAnsi="楷体_GB2312" w:eastAsia="楷体_GB2312" w:cs="DengXian-Bold"/>
          <w:b/>
          <w:bCs/>
          <w:sz w:val="32"/>
          <w:szCs w:val="32"/>
        </w:rPr>
      </w:pPr>
      <w:r>
        <w:rPr>
          <w:rFonts w:ascii="楷体_GB2312" w:hAnsi="楷体_GB2312" w:eastAsia="楷体_GB2312" w:cs="DengXian-Bold"/>
          <w:b/>
          <w:bCs/>
          <w:sz w:val="32"/>
          <w:szCs w:val="32"/>
        </w:rPr>
        <w:t>财政拨款支出决算结构情况。</w:t>
      </w:r>
    </w:p>
    <w:p>
      <w:pPr>
        <w:pStyle w:val="6"/>
        <w:snapToGrid w:val="0"/>
        <w:spacing w:line="580" w:lineRule="exact"/>
        <w:ind w:firstLine="640"/>
        <w:rPr>
          <w:rFonts w:ascii="楷体_GB2312" w:hAnsi="楷体_GB2312" w:eastAsia="楷体_GB2312" w:cs="DengXian-Bold"/>
          <w:b/>
          <w:bCs/>
          <w:sz w:val="32"/>
          <w:szCs w:val="32"/>
        </w:rPr>
      </w:pPr>
      <w:r>
        <w:rPr>
          <w:rFonts w:ascii="仿宋_GB2312" w:hAnsi="仿宋_GB2312" w:eastAsia="仿宋_GB2312" w:cs="DengXian-Regular"/>
          <w:sz w:val="32"/>
          <w:szCs w:val="32"/>
        </w:rPr>
        <w:t>2019 年度财政拨款支出</w:t>
      </w:r>
      <w:r>
        <w:rPr>
          <w:rFonts w:ascii="仿宋_GB2312" w:hAnsi="仿宋_GB2312" w:eastAsia="仿宋_GB2312" w:cs="DengXian-Regular"/>
          <w:sz w:val="32"/>
          <w:szCs w:val="32"/>
          <w:lang w:val="en-US" w:eastAsia="zh-CN"/>
        </w:rPr>
        <w:t>2475.22</w:t>
      </w:r>
      <w:r>
        <w:rPr>
          <w:rFonts w:ascii="仿宋_GB2312" w:hAnsi="仿宋_GB2312" w:eastAsia="仿宋_GB2312" w:cs="DengXian-Regular"/>
          <w:sz w:val="32"/>
          <w:szCs w:val="32"/>
        </w:rPr>
        <w:t>万元，主要用于以下方面</w:t>
      </w:r>
      <w:r>
        <w:rPr>
          <w:rFonts w:ascii="仿宋_GB2312" w:hAnsi="仿宋_GB2312" w:eastAsia="仿宋_GB2312" w:cs="DengXian-Regular"/>
          <w:sz w:val="32"/>
          <w:szCs w:val="32"/>
          <w:lang w:eastAsia="zh-CN"/>
        </w:rPr>
        <w:t>：灾害防治及应急管理支出</w:t>
      </w:r>
      <w:r>
        <w:rPr>
          <w:rFonts w:ascii="仿宋_GB2312" w:hAnsi="仿宋_GB2312" w:eastAsia="仿宋_GB2312" w:cs="DengXian-Regular"/>
          <w:sz w:val="32"/>
          <w:szCs w:val="32"/>
          <w:lang w:val="en-US" w:eastAsia="zh-CN"/>
        </w:rPr>
        <w:t>2222.58万元，</w:t>
      </w:r>
      <w:r>
        <w:rPr>
          <w:rFonts w:ascii="仿宋_GB2312" w:hAnsi="仿宋_GB2312" w:eastAsia="仿宋_GB2312" w:cs="DengXian-Regular"/>
          <w:sz w:val="32"/>
          <w:szCs w:val="32"/>
        </w:rPr>
        <w:t>占</w:t>
      </w:r>
      <w:r>
        <w:rPr>
          <w:rFonts w:ascii="仿宋_GB2312" w:hAnsi="仿宋_GB2312" w:eastAsia="仿宋_GB2312" w:cs="DengXian-Regular"/>
          <w:sz w:val="32"/>
          <w:szCs w:val="32"/>
          <w:lang w:val="en-US" w:eastAsia="zh-CN"/>
        </w:rPr>
        <w:t>89.79</w:t>
      </w:r>
      <w:r>
        <w:rPr>
          <w:rFonts w:ascii="仿宋_GB2312" w:hAnsi="仿宋_GB2312" w:eastAsia="仿宋_GB2312" w:cs="DengXian-Regular"/>
          <w:sz w:val="32"/>
          <w:szCs w:val="32"/>
        </w:rPr>
        <w:t>%；</w:t>
      </w:r>
      <w:r>
        <w:rPr>
          <w:rFonts w:ascii="仿宋_GB2312" w:hAnsi="仿宋_GB2312" w:eastAsia="仿宋_GB2312" w:cs="DengXian-Regular"/>
          <w:sz w:val="32"/>
          <w:szCs w:val="32"/>
          <w:lang w:eastAsia="zh-CN"/>
        </w:rPr>
        <w:t>卫生健康支出</w:t>
      </w:r>
      <w:r>
        <w:rPr>
          <w:rFonts w:ascii="仿宋_GB2312" w:hAnsi="仿宋_GB2312" w:eastAsia="仿宋_GB2312" w:cs="DengXian-Regular"/>
          <w:sz w:val="32"/>
          <w:szCs w:val="32"/>
          <w:lang w:val="en-US" w:eastAsia="zh-CN"/>
        </w:rPr>
        <w:t xml:space="preserve">34.98万元，占1.4%； </w:t>
      </w:r>
      <w:r>
        <w:rPr>
          <w:rFonts w:ascii="仿宋_GB2312" w:hAnsi="仿宋_GB2312" w:eastAsia="仿宋_GB2312" w:cs="DengXian-Regular"/>
          <w:sz w:val="32"/>
          <w:szCs w:val="32"/>
        </w:rPr>
        <w:t xml:space="preserve">社会保障和就业支出 </w:t>
      </w:r>
      <w:r>
        <w:rPr>
          <w:rFonts w:ascii="仿宋_GB2312" w:hAnsi="仿宋_GB2312" w:eastAsia="仿宋_GB2312" w:cs="DengXian-Regular"/>
          <w:sz w:val="32"/>
          <w:szCs w:val="32"/>
          <w:lang w:val="en-US" w:eastAsia="zh-CN"/>
        </w:rPr>
        <w:t>143.56</w:t>
      </w:r>
      <w:r>
        <w:rPr>
          <w:rFonts w:ascii="仿宋_GB2312" w:hAnsi="仿宋_GB2312" w:eastAsia="仿宋_GB2312" w:cs="DengXian-Regular"/>
          <w:sz w:val="32"/>
          <w:szCs w:val="32"/>
        </w:rPr>
        <w:t>万元，占</w:t>
      </w:r>
      <w:r>
        <w:rPr>
          <w:rFonts w:ascii="仿宋_GB2312" w:hAnsi="仿宋_GB2312" w:eastAsia="仿宋_GB2312" w:cs="DengXian-Regular"/>
          <w:sz w:val="32"/>
          <w:szCs w:val="32"/>
          <w:lang w:val="en-US" w:eastAsia="zh-CN"/>
        </w:rPr>
        <w:t>5.8</w:t>
      </w:r>
      <w:r>
        <w:rPr>
          <w:rFonts w:ascii="仿宋_GB2312" w:hAnsi="仿宋_GB2312" w:eastAsia="仿宋_GB2312" w:cs="DengXian-Regular"/>
          <w:sz w:val="32"/>
          <w:szCs w:val="32"/>
        </w:rPr>
        <w:t>%；住房保障支出</w:t>
      </w:r>
      <w:r>
        <w:rPr>
          <w:rFonts w:ascii="仿宋_GB2312" w:hAnsi="仿宋_GB2312" w:eastAsia="仿宋_GB2312" w:cs="DengXian-Regular"/>
          <w:sz w:val="32"/>
          <w:szCs w:val="32"/>
          <w:lang w:val="en-US" w:eastAsia="zh-CN"/>
        </w:rPr>
        <w:t>74.1</w:t>
      </w:r>
      <w:r>
        <w:rPr>
          <w:rFonts w:ascii="仿宋_GB2312" w:hAnsi="仿宋_GB2312" w:eastAsia="仿宋_GB2312" w:cs="DengXian-Regular"/>
          <w:sz w:val="32"/>
          <w:szCs w:val="32"/>
        </w:rPr>
        <w:t xml:space="preserve">万元，占 </w:t>
      </w:r>
      <w:r>
        <w:rPr>
          <w:rFonts w:ascii="仿宋_GB2312" w:hAnsi="仿宋_GB2312" w:eastAsia="仿宋_GB2312" w:cs="DengXian-Regular"/>
          <w:sz w:val="32"/>
          <w:szCs w:val="32"/>
          <w:lang w:val="en-US" w:eastAsia="zh-CN"/>
        </w:rPr>
        <w:t>3.01</w:t>
      </w:r>
      <w:r>
        <w:rPr>
          <w:rFonts w:ascii="仿宋_GB2312" w:hAnsi="仿宋_GB2312" w:eastAsia="仿宋_GB2312" w:cs="DengXian-Regular"/>
          <w:sz w:val="32"/>
          <w:szCs w:val="32"/>
        </w:rPr>
        <w:t>%。</w:t>
      </w:r>
    </w:p>
    <w:p>
      <w:pPr>
        <w:pStyle w:val="6"/>
        <w:snapToGrid w:val="0"/>
        <w:spacing w:line="240" w:lineRule="auto"/>
        <w:rPr>
          <w:rFonts w:ascii="楷体_GB2312" w:hAnsi="楷体_GB2312" w:eastAsia="楷体_GB2312" w:cs="DengXian-Bold"/>
          <w:b/>
          <w:bCs/>
          <w:sz w:val="32"/>
          <w:szCs w:val="32"/>
        </w:rPr>
      </w:pPr>
    </w:p>
    <w:p>
      <w:pPr>
        <w:pStyle w:val="6"/>
        <w:snapToGrid w:val="0"/>
        <w:spacing w:line="240" w:lineRule="auto"/>
        <w:rPr>
          <w:rFonts w:ascii="楷体_GB2312" w:hAnsi="楷体_GB2312" w:eastAsia="楷体_GB2312" w:cs="DengXian-Bold"/>
          <w:b/>
          <w:bCs/>
          <w:sz w:val="32"/>
          <w:szCs w:val="32"/>
          <w:lang w:eastAsia="zh-CN"/>
        </w:rPr>
      </w:pPr>
      <w:r>
        <w:drawing>
          <wp:inline distT="0" distB="0" distL="0" distR="0">
            <wp:extent cx="4215765" cy="2449830"/>
            <wp:effectExtent l="0" t="0" r="0" b="0"/>
            <wp:docPr id="27" name="图片 2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8" descr="图片1"/>
                    <pic:cNvPicPr>
                      <a:picLocks noChangeAspect="1" noChangeArrowheads="1"/>
                    </pic:cNvPicPr>
                  </pic:nvPicPr>
                  <pic:blipFill>
                    <a:blip r:embed="rId18"/>
                    <a:stretch>
                      <a:fillRect/>
                    </a:stretch>
                  </pic:blipFill>
                  <pic:spPr>
                    <a:xfrm>
                      <a:off x="0" y="0"/>
                      <a:ext cx="4215765" cy="2449830"/>
                    </a:xfrm>
                    <a:prstGeom prst="rect">
                      <a:avLst/>
                    </a:prstGeom>
                  </pic:spPr>
                </pic:pic>
              </a:graphicData>
            </a:graphic>
          </wp:inline>
        </w:drawing>
      </w:r>
    </w:p>
    <w:p>
      <w:pPr>
        <w:pStyle w:val="6"/>
        <w:snapToGrid w:val="0"/>
        <w:spacing w:line="240" w:lineRule="auto"/>
        <w:rPr>
          <w:rFonts w:ascii="楷体_GB2312" w:hAnsi="楷体_GB2312" w:eastAsia="楷体_GB2312" w:cs="DengXian-Bold"/>
          <w:b/>
          <w:bCs/>
          <w:sz w:val="32"/>
          <w:szCs w:val="32"/>
        </w:rPr>
      </w:pPr>
    </w:p>
    <w:p>
      <w:pPr>
        <w:pStyle w:val="6"/>
        <w:snapToGrid w:val="0"/>
        <w:spacing w:line="580" w:lineRule="exact"/>
        <w:ind w:left="420" w:firstLine="0"/>
        <w:rPr>
          <w:rFonts w:ascii="楷体_GB2312" w:hAnsi="楷体_GB2312" w:eastAsia="楷体_GB2312" w:cs="DengXian-Bold"/>
          <w:b/>
          <w:bCs/>
          <w:sz w:val="32"/>
          <w:szCs w:val="32"/>
        </w:rPr>
      </w:pPr>
      <w:r>
        <w:rPr>
          <w:rFonts w:ascii="楷体_GB2312" w:hAnsi="楷体_GB2312" w:eastAsia="楷体_GB2312" w:cs="DengXian-Bold"/>
          <w:b/>
          <w:bCs/>
          <w:sz w:val="32"/>
          <w:szCs w:val="32"/>
        </w:rPr>
        <w:t>（四）一般公共预算基本支出决算情况说明</w:t>
      </w:r>
    </w:p>
    <w:p>
      <w:pPr>
        <w:pStyle w:val="6"/>
        <w:snapToGrid w:val="0"/>
        <w:spacing w:line="580" w:lineRule="exact"/>
        <w:ind w:firstLine="640"/>
        <w:rPr>
          <w:rFonts w:ascii="仿宋_GB2312" w:hAnsi="仿宋_GB2312" w:eastAsia="仿宋_GB2312" w:cs="DengXian-Regular"/>
          <w:sz w:val="32"/>
          <w:szCs w:val="32"/>
        </w:rPr>
      </w:pPr>
      <w:r>
        <w:rPr>
          <w:rFonts w:ascii="仿宋_GB2312" w:hAnsi="仿宋_GB2312" w:eastAsia="仿宋_GB2312" w:cs="DengXian-Regular"/>
          <w:sz w:val="32"/>
          <w:szCs w:val="32"/>
        </w:rPr>
        <w:t>2019 年度财政拨款基本支出</w:t>
      </w:r>
      <w:r>
        <w:rPr>
          <w:rFonts w:ascii="仿宋_GB2312" w:hAnsi="仿宋_GB2312" w:eastAsia="仿宋_GB2312" w:cs="DengXian-Regular"/>
          <w:sz w:val="32"/>
          <w:szCs w:val="32"/>
          <w:lang w:val="en-US" w:eastAsia="zh-CN"/>
        </w:rPr>
        <w:t>1416.92</w:t>
      </w:r>
      <w:r>
        <w:rPr>
          <w:rFonts w:ascii="仿宋_GB2312" w:hAnsi="仿宋_GB2312" w:eastAsia="仿宋_GB2312" w:cs="DengXian-Regular"/>
          <w:sz w:val="32"/>
          <w:szCs w:val="32"/>
        </w:rPr>
        <w:t>万元，其中：人员经费</w:t>
      </w:r>
      <w:r>
        <w:rPr>
          <w:rFonts w:ascii="仿宋_GB2312" w:hAnsi="仿宋_GB2312" w:eastAsia="仿宋_GB2312" w:cs="DengXian-Regular"/>
          <w:sz w:val="32"/>
          <w:szCs w:val="32"/>
          <w:lang w:val="en-US" w:eastAsia="zh-CN"/>
        </w:rPr>
        <w:t>1256.29</w:t>
      </w:r>
      <w:r>
        <w:rPr>
          <w:rFonts w:ascii="仿宋_GB2312" w:hAnsi="仿宋_GB2312" w:eastAsia="仿宋_GB2312" w:cs="DengXian-Regular"/>
          <w:sz w:val="32"/>
          <w:szCs w:val="32"/>
        </w:rPr>
        <w:t>万元，主要包括基本工资</w:t>
      </w:r>
      <w:r>
        <w:rPr>
          <w:rFonts w:ascii="仿宋_GB2312" w:hAnsi="仿宋_GB2312" w:eastAsia="仿宋_GB2312" w:cs="DengXian-Regular"/>
          <w:sz w:val="32"/>
          <w:szCs w:val="32"/>
          <w:lang w:val="en-US" w:eastAsia="zh-CN"/>
        </w:rPr>
        <w:t>703.57万元</w:t>
      </w:r>
      <w:r>
        <w:rPr>
          <w:rFonts w:ascii="仿宋_GB2312" w:hAnsi="仿宋_GB2312" w:eastAsia="仿宋_GB2312" w:cs="DengXian-Regular"/>
          <w:sz w:val="32"/>
          <w:szCs w:val="32"/>
        </w:rPr>
        <w:t>、津贴补贴</w:t>
      </w:r>
      <w:r>
        <w:rPr>
          <w:rFonts w:ascii="仿宋_GB2312" w:hAnsi="仿宋_GB2312" w:eastAsia="仿宋_GB2312" w:cs="DengXian-Regular"/>
          <w:sz w:val="32"/>
          <w:szCs w:val="32"/>
          <w:lang w:val="en-US" w:eastAsia="zh-CN"/>
        </w:rPr>
        <w:t>279.43万元</w:t>
      </w:r>
      <w:r>
        <w:rPr>
          <w:rFonts w:ascii="仿宋_GB2312" w:hAnsi="仿宋_GB2312" w:eastAsia="仿宋_GB2312" w:cs="DengXian-Regular"/>
          <w:sz w:val="32"/>
          <w:szCs w:val="32"/>
        </w:rPr>
        <w:t>、奖金</w:t>
      </w:r>
      <w:r>
        <w:rPr>
          <w:rFonts w:ascii="仿宋_GB2312" w:hAnsi="仿宋_GB2312" w:eastAsia="仿宋_GB2312" w:cs="DengXian-Regular"/>
          <w:sz w:val="32"/>
          <w:szCs w:val="32"/>
          <w:lang w:val="en-US" w:eastAsia="zh-CN"/>
        </w:rPr>
        <w:t>7.16万元</w:t>
      </w:r>
      <w:r>
        <w:rPr>
          <w:rFonts w:ascii="仿宋_GB2312" w:hAnsi="仿宋_GB2312" w:eastAsia="仿宋_GB2312" w:cs="DengXian-Regular"/>
          <w:sz w:val="32"/>
          <w:szCs w:val="32"/>
        </w:rPr>
        <w:t>、绩效工资</w:t>
      </w:r>
      <w:r>
        <w:rPr>
          <w:rFonts w:ascii="仿宋_GB2312" w:hAnsi="仿宋_GB2312" w:eastAsia="仿宋_GB2312" w:cs="DengXian-Regular"/>
          <w:sz w:val="32"/>
          <w:szCs w:val="32"/>
          <w:lang w:val="en-US" w:eastAsia="zh-CN"/>
        </w:rPr>
        <w:t>12.32万元</w:t>
      </w:r>
      <w:r>
        <w:rPr>
          <w:rFonts w:ascii="仿宋_GB2312" w:hAnsi="仿宋_GB2312" w:eastAsia="仿宋_GB2312" w:cs="DengXian-Regular"/>
          <w:sz w:val="32"/>
          <w:szCs w:val="32"/>
        </w:rPr>
        <w:t>、机关事业单位基本养老保险缴费</w:t>
      </w:r>
      <w:r>
        <w:rPr>
          <w:rFonts w:ascii="仿宋_GB2312" w:hAnsi="仿宋_GB2312" w:eastAsia="仿宋_GB2312" w:cs="DengXian-Regular"/>
          <w:sz w:val="32"/>
          <w:szCs w:val="32"/>
          <w:lang w:val="en-US" w:eastAsia="zh-CN"/>
        </w:rPr>
        <w:t>119.11万元</w:t>
      </w:r>
      <w:r>
        <w:rPr>
          <w:rFonts w:ascii="仿宋_GB2312" w:hAnsi="仿宋_GB2312" w:eastAsia="仿宋_GB2312" w:cs="DengXian-Regular"/>
          <w:sz w:val="32"/>
          <w:szCs w:val="32"/>
        </w:rPr>
        <w:t>、职工基本医疗保险缴费</w:t>
      </w:r>
      <w:r>
        <w:rPr>
          <w:rFonts w:ascii="仿宋_GB2312" w:hAnsi="仿宋_GB2312" w:eastAsia="仿宋_GB2312" w:cs="DengXian-Regular"/>
          <w:sz w:val="32"/>
          <w:szCs w:val="32"/>
          <w:lang w:val="en-US" w:eastAsia="zh-CN"/>
        </w:rPr>
        <w:t>25.36万元</w:t>
      </w:r>
      <w:r>
        <w:rPr>
          <w:rFonts w:ascii="仿宋_GB2312" w:hAnsi="仿宋_GB2312" w:eastAsia="仿宋_GB2312" w:cs="DengXian-Regular"/>
          <w:sz w:val="32"/>
          <w:szCs w:val="32"/>
        </w:rPr>
        <w:t>、</w:t>
      </w:r>
      <w:r>
        <w:rPr>
          <w:rFonts w:ascii="仿宋_GB2312" w:hAnsi="仿宋_GB2312" w:eastAsia="仿宋_GB2312" w:cs="DengXian-Regular"/>
          <w:sz w:val="32"/>
          <w:szCs w:val="32"/>
          <w:lang w:eastAsia="zh-CN"/>
        </w:rPr>
        <w:t>其他社会保障缴费</w:t>
      </w:r>
      <w:r>
        <w:rPr>
          <w:rFonts w:ascii="仿宋_GB2312" w:hAnsi="仿宋_GB2312" w:eastAsia="仿宋_GB2312" w:cs="DengXian-Regular"/>
          <w:sz w:val="32"/>
          <w:szCs w:val="32"/>
          <w:lang w:val="en-US" w:eastAsia="zh-CN"/>
        </w:rPr>
        <w:t>3.03万元、</w:t>
      </w:r>
      <w:r>
        <w:rPr>
          <w:rFonts w:ascii="仿宋_GB2312" w:hAnsi="仿宋_GB2312" w:eastAsia="仿宋_GB2312" w:cs="DengXian-Regular"/>
          <w:sz w:val="32"/>
          <w:szCs w:val="32"/>
        </w:rPr>
        <w:t>住房公积金</w:t>
      </w:r>
      <w:r>
        <w:rPr>
          <w:rFonts w:ascii="仿宋_GB2312" w:hAnsi="仿宋_GB2312" w:eastAsia="仿宋_GB2312" w:cs="DengXian-Regular"/>
          <w:sz w:val="32"/>
          <w:szCs w:val="32"/>
          <w:lang w:val="en-US" w:eastAsia="zh-CN"/>
        </w:rPr>
        <w:t>74.1万元</w:t>
      </w:r>
      <w:r>
        <w:rPr>
          <w:rFonts w:ascii="仿宋_GB2312" w:hAnsi="仿宋_GB2312" w:eastAsia="仿宋_GB2312" w:cs="DengXian-Regular"/>
          <w:sz w:val="32"/>
          <w:szCs w:val="32"/>
        </w:rPr>
        <w:t>、其他工资福利支出</w:t>
      </w:r>
      <w:r>
        <w:rPr>
          <w:rFonts w:ascii="仿宋_GB2312" w:hAnsi="仿宋_GB2312" w:eastAsia="仿宋_GB2312" w:cs="DengXian-Regular"/>
          <w:sz w:val="32"/>
          <w:szCs w:val="32"/>
          <w:lang w:val="en-US" w:eastAsia="zh-CN"/>
        </w:rPr>
        <w:t>0.56</w:t>
      </w:r>
      <w:r>
        <w:rPr>
          <w:rFonts w:ascii="仿宋_GB2312" w:hAnsi="仿宋_GB2312" w:eastAsia="仿宋_GB2312" w:cs="DengXian-Regular"/>
          <w:sz w:val="32"/>
          <w:szCs w:val="32"/>
        </w:rPr>
        <w:t>、退休费</w:t>
      </w:r>
      <w:r>
        <w:rPr>
          <w:rFonts w:ascii="仿宋_GB2312" w:hAnsi="仿宋_GB2312" w:eastAsia="仿宋_GB2312" w:cs="DengXian-Regular"/>
          <w:sz w:val="32"/>
          <w:szCs w:val="32"/>
          <w:lang w:val="en-US" w:eastAsia="zh-CN"/>
        </w:rPr>
        <w:t>20.11万元</w:t>
      </w:r>
      <w:r>
        <w:rPr>
          <w:rFonts w:ascii="仿宋_GB2312" w:hAnsi="仿宋_GB2312" w:eastAsia="仿宋_GB2312" w:cs="DengXian-Regular"/>
          <w:sz w:val="32"/>
          <w:szCs w:val="32"/>
        </w:rPr>
        <w:t>、抚恤金</w:t>
      </w:r>
      <w:r>
        <w:rPr>
          <w:rFonts w:ascii="仿宋_GB2312" w:hAnsi="仿宋_GB2312" w:eastAsia="仿宋_GB2312" w:cs="DengXian-Regular"/>
          <w:sz w:val="32"/>
          <w:szCs w:val="32"/>
          <w:lang w:val="en-US" w:eastAsia="zh-CN"/>
        </w:rPr>
        <w:t>2.04万元</w:t>
      </w:r>
      <w:r>
        <w:rPr>
          <w:rFonts w:ascii="仿宋_GB2312" w:hAnsi="仿宋_GB2312" w:eastAsia="仿宋_GB2312" w:cs="DengXian-Regular"/>
          <w:sz w:val="32"/>
          <w:szCs w:val="32"/>
        </w:rPr>
        <w:t>、奖励金</w:t>
      </w:r>
      <w:r>
        <w:rPr>
          <w:rFonts w:ascii="仿宋_GB2312" w:hAnsi="仿宋_GB2312" w:eastAsia="仿宋_GB2312" w:cs="DengXian-Regular"/>
          <w:sz w:val="32"/>
          <w:szCs w:val="32"/>
          <w:lang w:val="en-US" w:eastAsia="zh-CN"/>
        </w:rPr>
        <w:t>0.64万元</w:t>
      </w:r>
      <w:r>
        <w:rPr>
          <w:rFonts w:ascii="仿宋_GB2312" w:hAnsi="仿宋_GB2312" w:eastAsia="仿宋_GB2312" w:cs="DengXian-Regular"/>
          <w:sz w:val="32"/>
          <w:szCs w:val="32"/>
        </w:rPr>
        <w:t>、其他对个人和家庭的补助支出</w:t>
      </w:r>
      <w:r>
        <w:rPr>
          <w:rFonts w:ascii="仿宋_GB2312" w:hAnsi="仿宋_GB2312" w:eastAsia="仿宋_GB2312" w:cs="DengXian-Regular"/>
          <w:sz w:val="32"/>
          <w:szCs w:val="32"/>
          <w:lang w:val="en-US" w:eastAsia="zh-CN"/>
        </w:rPr>
        <w:t>8.86万元</w:t>
      </w:r>
      <w:r>
        <w:rPr>
          <w:rFonts w:ascii="仿宋_GB2312" w:hAnsi="仿宋_GB2312" w:eastAsia="仿宋_GB2312" w:cs="DengXian-Regular"/>
          <w:sz w:val="32"/>
          <w:szCs w:val="32"/>
        </w:rPr>
        <w:t xml:space="preserve">；公用经费 </w:t>
      </w:r>
      <w:r>
        <w:rPr>
          <w:rFonts w:ascii="仿宋_GB2312" w:hAnsi="仿宋_GB2312" w:eastAsia="仿宋_GB2312" w:cs="DengXian-Regular"/>
          <w:sz w:val="32"/>
          <w:szCs w:val="32"/>
          <w:lang w:val="en-US" w:eastAsia="zh-CN"/>
        </w:rPr>
        <w:t>160.63</w:t>
      </w:r>
      <w:r>
        <w:rPr>
          <w:rFonts w:ascii="仿宋_GB2312" w:hAnsi="仿宋_GB2312" w:eastAsia="仿宋_GB2312" w:cs="DengXian-Regular"/>
          <w:sz w:val="32"/>
          <w:szCs w:val="32"/>
        </w:rPr>
        <w:t>万元，主要包括办公费</w:t>
      </w:r>
      <w:r>
        <w:rPr>
          <w:rFonts w:ascii="仿宋_GB2312" w:hAnsi="仿宋_GB2312" w:eastAsia="仿宋_GB2312" w:cs="DengXian-Regular"/>
          <w:sz w:val="32"/>
          <w:szCs w:val="32"/>
          <w:lang w:val="en-US" w:eastAsia="zh-CN"/>
        </w:rPr>
        <w:t>14.18万元</w:t>
      </w:r>
      <w:r>
        <w:rPr>
          <w:rFonts w:ascii="仿宋_GB2312" w:hAnsi="仿宋_GB2312" w:eastAsia="仿宋_GB2312" w:cs="DengXian-Regular"/>
          <w:sz w:val="32"/>
          <w:szCs w:val="32"/>
        </w:rPr>
        <w:t>、印刷费</w:t>
      </w:r>
      <w:r>
        <w:rPr>
          <w:rFonts w:ascii="仿宋_GB2312" w:hAnsi="仿宋_GB2312" w:eastAsia="仿宋_GB2312" w:cs="DengXian-Regular"/>
          <w:sz w:val="32"/>
          <w:szCs w:val="32"/>
          <w:lang w:val="en-US" w:eastAsia="zh-CN"/>
        </w:rPr>
        <w:t>0.06万元</w:t>
      </w:r>
      <w:r>
        <w:rPr>
          <w:rFonts w:ascii="仿宋_GB2312" w:hAnsi="仿宋_GB2312" w:eastAsia="仿宋_GB2312" w:cs="DengXian-Regular"/>
          <w:sz w:val="32"/>
          <w:szCs w:val="32"/>
        </w:rPr>
        <w:t>、手续费</w:t>
      </w:r>
      <w:r>
        <w:rPr>
          <w:rFonts w:ascii="仿宋_GB2312" w:hAnsi="仿宋_GB2312" w:eastAsia="仿宋_GB2312" w:cs="DengXian-Regular"/>
          <w:sz w:val="32"/>
          <w:szCs w:val="32"/>
          <w:lang w:val="en-US" w:eastAsia="zh-CN"/>
        </w:rPr>
        <w:t>0.04</w:t>
      </w:r>
      <w:r>
        <w:rPr>
          <w:rFonts w:ascii="仿宋_GB2312" w:hAnsi="仿宋_GB2312" w:eastAsia="仿宋_GB2312" w:cs="DengXian-Regular"/>
          <w:sz w:val="32"/>
          <w:szCs w:val="32"/>
        </w:rPr>
        <w:t>、邮电费</w:t>
      </w:r>
      <w:r>
        <w:rPr>
          <w:rFonts w:ascii="仿宋_GB2312" w:hAnsi="仿宋_GB2312" w:eastAsia="仿宋_GB2312" w:cs="DengXian-Regular"/>
          <w:sz w:val="32"/>
          <w:szCs w:val="32"/>
          <w:lang w:val="en-US" w:eastAsia="zh-CN"/>
        </w:rPr>
        <w:t>34.48</w:t>
      </w:r>
      <w:r>
        <w:rPr>
          <w:rFonts w:ascii="仿宋_GB2312" w:hAnsi="仿宋_GB2312" w:eastAsia="仿宋_GB2312" w:cs="DengXian-Regular"/>
          <w:sz w:val="32"/>
          <w:szCs w:val="32"/>
        </w:rPr>
        <w:t>、取暖费</w:t>
      </w:r>
      <w:r>
        <w:rPr>
          <w:rFonts w:ascii="仿宋_GB2312" w:hAnsi="仿宋_GB2312" w:eastAsia="仿宋_GB2312" w:cs="DengXian-Regular"/>
          <w:sz w:val="32"/>
          <w:szCs w:val="32"/>
          <w:lang w:val="en-US" w:eastAsia="zh-CN"/>
        </w:rPr>
        <w:t>24.27</w:t>
      </w:r>
      <w:r>
        <w:rPr>
          <w:rFonts w:ascii="仿宋_GB2312" w:hAnsi="仿宋_GB2312" w:eastAsia="仿宋_GB2312" w:cs="DengXian-Regular"/>
          <w:sz w:val="32"/>
          <w:szCs w:val="32"/>
        </w:rPr>
        <w:t>、</w:t>
      </w:r>
      <w:r>
        <w:rPr>
          <w:rFonts w:ascii="仿宋_GB2312" w:hAnsi="仿宋_GB2312" w:eastAsia="仿宋_GB2312" w:cs="DengXian-Regular"/>
          <w:sz w:val="32"/>
          <w:szCs w:val="32"/>
          <w:lang w:eastAsia="zh-CN"/>
        </w:rPr>
        <w:t>因</w:t>
      </w:r>
      <w:r>
        <w:rPr>
          <w:rFonts w:ascii="仿宋_GB2312" w:hAnsi="仿宋_GB2312" w:eastAsia="仿宋_GB2312" w:cs="DengXian-Regular"/>
          <w:sz w:val="32"/>
          <w:szCs w:val="32"/>
        </w:rPr>
        <w:t>公出国（境）费用</w:t>
      </w:r>
      <w:r>
        <w:rPr>
          <w:rFonts w:ascii="仿宋_GB2312" w:hAnsi="仿宋_GB2312" w:eastAsia="仿宋_GB2312" w:cs="DengXian-Regular"/>
          <w:sz w:val="32"/>
          <w:szCs w:val="32"/>
          <w:lang w:val="en-US" w:eastAsia="zh-CN"/>
        </w:rPr>
        <w:t>1.38万元</w:t>
      </w:r>
      <w:r>
        <w:rPr>
          <w:rFonts w:ascii="仿宋_GB2312" w:hAnsi="仿宋_GB2312" w:eastAsia="仿宋_GB2312" w:cs="DengXian-Regular"/>
          <w:sz w:val="32"/>
          <w:szCs w:val="32"/>
        </w:rPr>
        <w:t>、维修（护）费</w:t>
      </w:r>
      <w:r>
        <w:rPr>
          <w:rFonts w:ascii="仿宋_GB2312" w:hAnsi="仿宋_GB2312" w:eastAsia="仿宋_GB2312" w:cs="DengXian-Regular"/>
          <w:sz w:val="32"/>
          <w:szCs w:val="32"/>
          <w:lang w:val="en-US" w:eastAsia="zh-CN"/>
        </w:rPr>
        <w:t>0.16万元</w:t>
      </w:r>
      <w:r>
        <w:rPr>
          <w:rFonts w:ascii="仿宋_GB2312" w:hAnsi="仿宋_GB2312" w:eastAsia="仿宋_GB2312" w:cs="DengXian-Regular"/>
          <w:sz w:val="32"/>
          <w:szCs w:val="32"/>
        </w:rPr>
        <w:t>、会议费</w:t>
      </w:r>
      <w:r>
        <w:rPr>
          <w:rFonts w:ascii="仿宋_GB2312" w:hAnsi="仿宋_GB2312" w:eastAsia="仿宋_GB2312" w:cs="DengXian-Regular"/>
          <w:sz w:val="32"/>
          <w:szCs w:val="32"/>
          <w:lang w:val="en-US" w:eastAsia="zh-CN"/>
        </w:rPr>
        <w:t>0.51万元</w:t>
      </w:r>
      <w:r>
        <w:rPr>
          <w:rFonts w:ascii="仿宋_GB2312" w:hAnsi="仿宋_GB2312" w:eastAsia="仿宋_GB2312" w:cs="DengXian-Regular"/>
          <w:sz w:val="32"/>
          <w:szCs w:val="32"/>
        </w:rPr>
        <w:t>、公务接待费</w:t>
      </w:r>
      <w:r>
        <w:rPr>
          <w:rFonts w:ascii="仿宋_GB2312" w:hAnsi="仿宋_GB2312" w:eastAsia="仿宋_GB2312" w:cs="DengXian-Regular"/>
          <w:sz w:val="32"/>
          <w:szCs w:val="32"/>
          <w:lang w:val="en-US" w:eastAsia="zh-CN"/>
        </w:rPr>
        <w:t>0.94万元</w:t>
      </w:r>
      <w:r>
        <w:rPr>
          <w:rFonts w:ascii="仿宋_GB2312" w:hAnsi="仿宋_GB2312" w:eastAsia="仿宋_GB2312" w:cs="DengXian-Regular"/>
          <w:sz w:val="32"/>
          <w:szCs w:val="32"/>
        </w:rPr>
        <w:t>、工会经费</w:t>
      </w:r>
      <w:r>
        <w:rPr>
          <w:rFonts w:ascii="仿宋_GB2312" w:hAnsi="仿宋_GB2312" w:eastAsia="仿宋_GB2312" w:cs="DengXian-Regular"/>
          <w:sz w:val="32"/>
          <w:szCs w:val="32"/>
          <w:lang w:val="en-US" w:eastAsia="zh-CN"/>
        </w:rPr>
        <w:t>14.68万元</w:t>
      </w:r>
      <w:r>
        <w:rPr>
          <w:rFonts w:ascii="仿宋_GB2312" w:hAnsi="仿宋_GB2312" w:eastAsia="仿宋_GB2312" w:cs="DengXian-Regular"/>
          <w:sz w:val="32"/>
          <w:szCs w:val="32"/>
        </w:rPr>
        <w:t>、福利费</w:t>
      </w:r>
      <w:r>
        <w:rPr>
          <w:rFonts w:ascii="仿宋_GB2312" w:hAnsi="仿宋_GB2312" w:eastAsia="仿宋_GB2312" w:cs="DengXian-Regular"/>
          <w:sz w:val="32"/>
          <w:szCs w:val="32"/>
          <w:lang w:val="en-US" w:eastAsia="zh-CN"/>
        </w:rPr>
        <w:t>6.73万元</w:t>
      </w:r>
      <w:r>
        <w:rPr>
          <w:rFonts w:ascii="仿宋_GB2312" w:hAnsi="仿宋_GB2312" w:eastAsia="仿宋_GB2312" w:cs="DengXian-Regular"/>
          <w:sz w:val="32"/>
          <w:szCs w:val="32"/>
        </w:rPr>
        <w:t>、公务用车运行维护费</w:t>
      </w:r>
      <w:r>
        <w:rPr>
          <w:rFonts w:ascii="仿宋_GB2312" w:hAnsi="仿宋_GB2312" w:eastAsia="仿宋_GB2312" w:cs="DengXian-Regular"/>
          <w:sz w:val="32"/>
          <w:szCs w:val="32"/>
          <w:lang w:val="en-US" w:eastAsia="zh-CN"/>
        </w:rPr>
        <w:t>4.13万元</w:t>
      </w:r>
      <w:r>
        <w:rPr>
          <w:rFonts w:ascii="仿宋_GB2312" w:hAnsi="仿宋_GB2312" w:eastAsia="仿宋_GB2312" w:cs="DengXian-Regular"/>
          <w:sz w:val="32"/>
          <w:szCs w:val="32"/>
        </w:rPr>
        <w:t>、其他交通费用</w:t>
      </w:r>
      <w:r>
        <w:rPr>
          <w:rFonts w:ascii="仿宋_GB2312" w:hAnsi="仿宋_GB2312" w:eastAsia="仿宋_GB2312" w:cs="DengXian-Regular"/>
          <w:sz w:val="32"/>
          <w:szCs w:val="32"/>
          <w:lang w:val="en-US" w:eastAsia="zh-CN"/>
        </w:rPr>
        <w:t>54.61万元</w:t>
      </w:r>
      <w:r>
        <w:rPr>
          <w:rFonts w:ascii="仿宋_GB2312" w:hAnsi="仿宋_GB2312" w:eastAsia="仿宋_GB2312" w:cs="DengXian-Regular"/>
          <w:sz w:val="32"/>
          <w:szCs w:val="32"/>
        </w:rPr>
        <w:t>、办公设备购置</w:t>
      </w:r>
      <w:r>
        <w:rPr>
          <w:rFonts w:ascii="仿宋_GB2312" w:hAnsi="仿宋_GB2312" w:eastAsia="仿宋_GB2312" w:cs="DengXian-Regular"/>
          <w:sz w:val="32"/>
          <w:szCs w:val="32"/>
          <w:lang w:val="en-US" w:eastAsia="zh-CN"/>
        </w:rPr>
        <w:t>4.46万元</w:t>
      </w:r>
      <w:r>
        <w:rPr>
          <w:rFonts w:ascii="仿宋_GB2312" w:hAnsi="仿宋_GB2312" w:eastAsia="仿宋_GB2312" w:cs="DengXian-Regular"/>
          <w:sz w:val="32"/>
          <w:szCs w:val="32"/>
        </w:rPr>
        <w:t>。</w:t>
      </w:r>
    </w:p>
    <w:p>
      <w:pPr>
        <w:pStyle w:val="6"/>
        <w:keepNext/>
        <w:keepLines/>
        <w:numPr>
          <w:ilvl w:val="0"/>
          <w:numId w:val="0"/>
        </w:numPr>
        <w:snapToGrid w:val="0"/>
        <w:spacing w:line="580" w:lineRule="exact"/>
        <w:ind w:firstLine="640"/>
        <w:outlineLvl w:val="1"/>
        <w:rPr>
          <w:rFonts w:ascii="黑体" w:hAnsi="黑体" w:eastAsia="黑体" w:cs="Times New Roman"/>
          <w:sz w:val="32"/>
          <w:szCs w:val="32"/>
        </w:rPr>
      </w:pPr>
      <w:r>
        <w:rPr>
          <w:rFonts w:ascii="黑体" w:hAnsi="黑体" w:eastAsia="黑体" w:cs="Times New Roman"/>
          <w:sz w:val="32"/>
          <w:szCs w:val="32"/>
        </w:rPr>
        <w:t>五、一般公共预算“三公” 经费支出决算情况说明</w:t>
      </w:r>
    </w:p>
    <w:p>
      <w:pPr>
        <w:pStyle w:val="6"/>
        <w:snapToGrid w:val="0"/>
        <w:spacing w:line="580" w:lineRule="exact"/>
        <w:ind w:firstLine="640"/>
        <w:rPr>
          <w:rFonts w:ascii="仿宋_GB2312" w:hAnsi="仿宋_GB2312" w:eastAsia="仿宋_GB2312" w:cs="DengXian-Regular"/>
          <w:sz w:val="32"/>
          <w:szCs w:val="32"/>
        </w:rPr>
      </w:pPr>
      <w:r>
        <w:rPr>
          <w:rFonts w:ascii="仿宋_GB2312" w:hAnsi="仿宋_GB2312" w:eastAsia="仿宋_GB2312" w:cs="DengXian-Regular"/>
          <w:sz w:val="32"/>
          <w:szCs w:val="32"/>
        </w:rPr>
        <w:t>本部门2019年度“三公”经费支出共计</w:t>
      </w:r>
      <w:r>
        <w:rPr>
          <w:rFonts w:ascii="仿宋_GB2312" w:hAnsi="仿宋_GB2312" w:eastAsia="仿宋_GB2312" w:cs="DengXian-Regular"/>
          <w:sz w:val="32"/>
          <w:szCs w:val="32"/>
          <w:lang w:val="en-US" w:eastAsia="zh-CN"/>
        </w:rPr>
        <w:t>52.77</w:t>
      </w:r>
      <w:r>
        <w:rPr>
          <w:rFonts w:ascii="仿宋_GB2312" w:hAnsi="仿宋_GB2312" w:eastAsia="仿宋_GB2312" w:cs="DengXian-Regular"/>
          <w:sz w:val="32"/>
          <w:szCs w:val="32"/>
        </w:rPr>
        <w:t>万元，完成预算的</w:t>
      </w:r>
      <w:r>
        <w:rPr>
          <w:rFonts w:ascii="仿宋_GB2312" w:hAnsi="仿宋_GB2312" w:eastAsia="仿宋_GB2312" w:cs="DengXian-Regular"/>
          <w:sz w:val="32"/>
          <w:szCs w:val="32"/>
          <w:lang w:val="en-US" w:eastAsia="zh-CN"/>
        </w:rPr>
        <w:t>70.67</w:t>
      </w:r>
      <w:r>
        <w:rPr>
          <w:rFonts w:ascii="仿宋_GB2312" w:hAnsi="仿宋_GB2312" w:eastAsia="仿宋_GB2312" w:cs="DengXian-Regular"/>
          <w:sz w:val="32"/>
          <w:szCs w:val="32"/>
        </w:rPr>
        <w:t>%,较预算</w:t>
      </w:r>
      <w:r>
        <w:rPr>
          <w:rFonts w:ascii="仿宋_GB2312" w:hAnsi="仿宋_GB2312" w:eastAsia="仿宋_GB2312" w:cs="DengXian-Regular"/>
          <w:sz w:val="32"/>
          <w:szCs w:val="32"/>
          <w:lang w:eastAsia="zh-CN"/>
        </w:rPr>
        <w:t>减少</w:t>
      </w:r>
      <w:r>
        <w:rPr>
          <w:rFonts w:ascii="仿宋_GB2312" w:hAnsi="仿宋_GB2312" w:eastAsia="仿宋_GB2312" w:cs="DengXian-Regular"/>
          <w:sz w:val="32"/>
          <w:szCs w:val="32"/>
          <w:lang w:val="en-US" w:eastAsia="zh-CN"/>
        </w:rPr>
        <w:t>21.9</w:t>
      </w:r>
      <w:r>
        <w:rPr>
          <w:rFonts w:ascii="仿宋_GB2312" w:hAnsi="仿宋_GB2312" w:eastAsia="仿宋_GB2312" w:cs="DengXian-Regular"/>
          <w:sz w:val="32"/>
          <w:szCs w:val="32"/>
        </w:rPr>
        <w:t>万元，降低</w:t>
      </w:r>
      <w:r>
        <w:rPr>
          <w:rFonts w:ascii="仿宋_GB2312" w:hAnsi="仿宋_GB2312" w:eastAsia="仿宋_GB2312" w:cs="DengXian-Regular"/>
          <w:sz w:val="32"/>
          <w:szCs w:val="32"/>
          <w:lang w:val="en-US" w:eastAsia="zh-CN"/>
        </w:rPr>
        <w:t>29.33</w:t>
      </w:r>
      <w:r>
        <w:rPr>
          <w:rFonts w:ascii="仿宋_GB2312" w:hAnsi="仿宋_GB2312" w:eastAsia="仿宋_GB2312" w:cs="DengXian-Regular"/>
          <w:sz w:val="32"/>
          <w:szCs w:val="32"/>
        </w:rPr>
        <w:t>%，主要是</w:t>
      </w:r>
      <w:r>
        <w:rPr>
          <w:rFonts w:ascii="仿宋_GB2312" w:hAnsi="仿宋_GB2312" w:eastAsia="仿宋_GB2312" w:cs="DengXian-Regular"/>
          <w:sz w:val="32"/>
          <w:szCs w:val="32"/>
          <w:lang w:eastAsia="zh-CN"/>
        </w:rPr>
        <w:t>厉行节约，控制了因公出国经费及公务用车运行费</w:t>
      </w:r>
      <w:r>
        <w:rPr>
          <w:rFonts w:ascii="仿宋_GB2312" w:hAnsi="仿宋_GB2312" w:eastAsia="仿宋_GB2312" w:cs="DengXian-Regular"/>
          <w:sz w:val="32"/>
          <w:szCs w:val="32"/>
        </w:rPr>
        <w:t>；较2018年度减少</w:t>
      </w:r>
      <w:r>
        <w:rPr>
          <w:rFonts w:ascii="仿宋_GB2312" w:hAnsi="仿宋_GB2312" w:eastAsia="仿宋_GB2312" w:cs="DengXian-Regular"/>
          <w:sz w:val="32"/>
          <w:szCs w:val="32"/>
          <w:lang w:val="en-US" w:eastAsia="zh-CN"/>
        </w:rPr>
        <w:t>11.15</w:t>
      </w:r>
      <w:r>
        <w:rPr>
          <w:rFonts w:ascii="仿宋_GB2312" w:hAnsi="仿宋_GB2312" w:eastAsia="仿宋_GB2312" w:cs="DengXian-Regular"/>
          <w:sz w:val="32"/>
          <w:szCs w:val="32"/>
        </w:rPr>
        <w:t>万元，</w:t>
      </w:r>
      <w:r>
        <w:rPr>
          <w:rFonts w:ascii="仿宋_GB2312" w:hAnsi="仿宋_GB2312" w:eastAsia="仿宋_GB2312" w:cs="DengXian-Regular"/>
          <w:sz w:val="32"/>
          <w:szCs w:val="32"/>
          <w:lang w:val="en-US" w:eastAsia="zh-CN"/>
        </w:rPr>
        <w:t xml:space="preserve"> </w:t>
      </w:r>
      <w:r>
        <w:rPr>
          <w:rFonts w:ascii="仿宋_GB2312" w:hAnsi="仿宋_GB2312" w:eastAsia="仿宋_GB2312" w:cs="DengXian-Regular"/>
          <w:sz w:val="32"/>
          <w:szCs w:val="32"/>
        </w:rPr>
        <w:t>降低</w:t>
      </w:r>
      <w:r>
        <w:rPr>
          <w:rFonts w:ascii="仿宋_GB2312" w:hAnsi="仿宋_GB2312" w:eastAsia="仿宋_GB2312" w:cs="DengXian-Regular"/>
          <w:sz w:val="32"/>
          <w:szCs w:val="32"/>
          <w:lang w:val="en-US" w:eastAsia="zh-CN"/>
        </w:rPr>
        <w:t>17.44</w:t>
      </w:r>
      <w:r>
        <w:rPr>
          <w:rFonts w:ascii="仿宋_GB2312" w:hAnsi="仿宋_GB2312" w:eastAsia="仿宋_GB2312" w:cs="DengXian-Regular"/>
          <w:sz w:val="32"/>
          <w:szCs w:val="32"/>
        </w:rPr>
        <w:t>%，主要是</w:t>
      </w:r>
      <w:r>
        <w:rPr>
          <w:rFonts w:ascii="仿宋_GB2312" w:hAnsi="仿宋_GB2312" w:eastAsia="仿宋_GB2312" w:cs="DengXian-Regular"/>
          <w:sz w:val="32"/>
          <w:szCs w:val="32"/>
          <w:lang w:eastAsia="zh-CN"/>
        </w:rPr>
        <w:t>因公出国经费及公务用车运行费</w:t>
      </w:r>
      <w:r>
        <w:rPr>
          <w:rFonts w:ascii="仿宋_GB2312" w:hAnsi="仿宋_GB2312" w:eastAsia="仿宋_GB2312" w:cs="DengXian-Regular"/>
          <w:sz w:val="32"/>
          <w:szCs w:val="32"/>
        </w:rPr>
        <w:t>。</w:t>
      </w:r>
    </w:p>
    <w:p>
      <w:pPr>
        <w:pStyle w:val="6"/>
        <w:snapToGrid w:val="0"/>
        <w:spacing w:line="580" w:lineRule="exact"/>
        <w:ind w:firstLine="643"/>
        <w:rPr>
          <w:rFonts w:ascii="仿宋_GB2312" w:hAnsi="仿宋_GB2312" w:eastAsia="仿宋_GB2312" w:cs="DengXian-Regular"/>
          <w:sz w:val="32"/>
          <w:szCs w:val="32"/>
        </w:rPr>
      </w:pPr>
      <w:r>
        <w:rPr>
          <w:rFonts w:ascii="楷体_GB2312" w:hAnsi="楷体_GB2312" w:eastAsia="楷体_GB2312" w:cs="DengXian-Bold"/>
          <w:b/>
          <w:bCs/>
          <w:sz w:val="32"/>
          <w:szCs w:val="32"/>
        </w:rPr>
        <w:t>（一）因公出国（境）费支出</w:t>
      </w:r>
      <w:r>
        <w:rPr>
          <w:rFonts w:ascii="楷体_GB2312" w:hAnsi="楷体_GB2312" w:eastAsia="楷体_GB2312" w:cs="DengXian-Bold"/>
          <w:b/>
          <w:bCs/>
          <w:sz w:val="32"/>
          <w:szCs w:val="32"/>
          <w:lang w:val="en-US" w:eastAsia="zh-CN"/>
        </w:rPr>
        <w:t>1.38</w:t>
      </w:r>
      <w:r>
        <w:rPr>
          <w:rFonts w:ascii="楷体_GB2312" w:hAnsi="楷体_GB2312" w:eastAsia="楷体_GB2312" w:cs="DengXian-Bold"/>
          <w:b/>
          <w:bCs/>
          <w:sz w:val="32"/>
          <w:szCs w:val="32"/>
        </w:rPr>
        <w:t>万元。</w:t>
      </w:r>
      <w:r>
        <w:rPr>
          <w:rFonts w:ascii="仿宋_GB2312" w:hAnsi="仿宋_GB2312" w:eastAsia="仿宋_GB2312" w:cs="DengXian-Regular"/>
          <w:sz w:val="32"/>
          <w:szCs w:val="32"/>
        </w:rPr>
        <w:t>本部门2019年度因公出国（境）团组</w:t>
      </w:r>
      <w:r>
        <w:rPr>
          <w:rFonts w:ascii="仿宋_GB2312" w:hAnsi="仿宋_GB2312" w:eastAsia="仿宋_GB2312" w:cs="DengXian-Regular"/>
          <w:sz w:val="32"/>
          <w:szCs w:val="32"/>
          <w:lang w:val="en-US" w:eastAsia="zh-CN"/>
        </w:rPr>
        <w:t>1</w:t>
      </w:r>
      <w:r>
        <w:rPr>
          <w:rFonts w:ascii="仿宋_GB2312" w:hAnsi="仿宋_GB2312" w:eastAsia="仿宋_GB2312" w:cs="DengXian-Regular"/>
          <w:sz w:val="32"/>
          <w:szCs w:val="32"/>
        </w:rPr>
        <w:t>个、共</w:t>
      </w:r>
      <w:r>
        <w:rPr>
          <w:rFonts w:ascii="仿宋_GB2312" w:hAnsi="仿宋_GB2312" w:eastAsia="仿宋_GB2312" w:cs="DengXian-Regular"/>
          <w:sz w:val="32"/>
          <w:szCs w:val="32"/>
          <w:lang w:val="en-US" w:eastAsia="zh-CN"/>
        </w:rPr>
        <w:t>1</w:t>
      </w:r>
      <w:r>
        <w:rPr>
          <w:rFonts w:ascii="仿宋_GB2312" w:hAnsi="仿宋_GB2312" w:eastAsia="仿宋_GB2312" w:cs="DengXian-Regular"/>
          <w:sz w:val="32"/>
          <w:szCs w:val="32"/>
        </w:rPr>
        <w:t>人</w:t>
      </w:r>
      <w:r>
        <w:rPr>
          <w:rFonts w:ascii="仿宋_GB2312" w:hAnsi="仿宋_GB2312" w:eastAsia="仿宋_GB2312" w:cs="DengXian-Regular"/>
          <w:sz w:val="32"/>
          <w:szCs w:val="32"/>
          <w:lang w:eastAsia="zh-CN"/>
        </w:rPr>
        <w:t>，</w:t>
      </w:r>
      <w:r>
        <w:rPr>
          <w:rFonts w:ascii="仿宋_GB2312" w:hAnsi="仿宋_GB2312" w:eastAsia="仿宋_GB2312" w:cs="DengXian-Regular"/>
          <w:sz w:val="32"/>
          <w:szCs w:val="32"/>
        </w:rPr>
        <w:t>因公出国（境）费支出较预算减少</w:t>
      </w:r>
      <w:r>
        <w:rPr>
          <w:rFonts w:ascii="仿宋_GB2312" w:hAnsi="仿宋_GB2312" w:eastAsia="仿宋_GB2312" w:cs="DengXian-Regular"/>
          <w:sz w:val="32"/>
          <w:szCs w:val="32"/>
          <w:lang w:val="en-US" w:eastAsia="zh-CN"/>
        </w:rPr>
        <w:t>2.62</w:t>
      </w:r>
      <w:r>
        <w:rPr>
          <w:rFonts w:ascii="仿宋_GB2312" w:hAnsi="仿宋_GB2312" w:eastAsia="仿宋_GB2312" w:cs="DengXian-Regular"/>
          <w:sz w:val="32"/>
          <w:szCs w:val="32"/>
        </w:rPr>
        <w:t>万元，降低</w:t>
      </w:r>
      <w:r>
        <w:rPr>
          <w:rFonts w:ascii="仿宋_GB2312" w:hAnsi="仿宋_GB2312" w:eastAsia="仿宋_GB2312" w:cs="DengXian-Regular"/>
          <w:sz w:val="32"/>
          <w:szCs w:val="32"/>
          <w:lang w:val="en-US" w:eastAsia="zh-CN"/>
        </w:rPr>
        <w:t>65.5</w:t>
      </w:r>
      <w:r>
        <w:rPr>
          <w:rFonts w:ascii="仿宋_GB2312" w:hAnsi="仿宋_GB2312" w:eastAsia="仿宋_GB2312" w:cs="DengXian-Regular"/>
          <w:sz w:val="32"/>
          <w:szCs w:val="32"/>
        </w:rPr>
        <w:t>%,主要是</w:t>
      </w:r>
      <w:r>
        <w:rPr>
          <w:rFonts w:ascii="仿宋_GB2312" w:hAnsi="仿宋_GB2312" w:eastAsia="仿宋_GB2312" w:cs="DengXian-Regular"/>
          <w:sz w:val="32"/>
          <w:szCs w:val="32"/>
          <w:lang w:eastAsia="zh-CN"/>
        </w:rPr>
        <w:t>控制了因公出国经费，厉行节约</w:t>
      </w:r>
      <w:r>
        <w:rPr>
          <w:rFonts w:ascii="仿宋_GB2312" w:hAnsi="仿宋_GB2312" w:eastAsia="仿宋_GB2312" w:cs="DengXian-Regular"/>
          <w:sz w:val="32"/>
          <w:szCs w:val="32"/>
        </w:rPr>
        <w:t>；较上年增减少</w:t>
      </w:r>
      <w:r>
        <w:rPr>
          <w:rFonts w:ascii="仿宋_GB2312" w:hAnsi="仿宋_GB2312" w:eastAsia="仿宋_GB2312" w:cs="DengXian-Regular"/>
          <w:sz w:val="32"/>
          <w:szCs w:val="32"/>
          <w:lang w:val="en-US" w:eastAsia="zh-CN"/>
        </w:rPr>
        <w:t>3.74</w:t>
      </w:r>
      <w:r>
        <w:rPr>
          <w:rFonts w:ascii="仿宋_GB2312" w:hAnsi="仿宋_GB2312" w:eastAsia="仿宋_GB2312" w:cs="DengXian-Regular"/>
          <w:sz w:val="32"/>
          <w:szCs w:val="32"/>
        </w:rPr>
        <w:t>万元，降低</w:t>
      </w:r>
      <w:r>
        <w:rPr>
          <w:rFonts w:ascii="仿宋_GB2312" w:hAnsi="仿宋_GB2312" w:eastAsia="仿宋_GB2312" w:cs="DengXian-Regular"/>
          <w:sz w:val="32"/>
          <w:szCs w:val="32"/>
          <w:lang w:val="en-US" w:eastAsia="zh-CN"/>
        </w:rPr>
        <w:t>73</w:t>
      </w:r>
      <w:r>
        <w:rPr>
          <w:rFonts w:ascii="仿宋_GB2312" w:hAnsi="仿宋_GB2312" w:eastAsia="仿宋_GB2312" w:cs="DengXian-Regular"/>
          <w:sz w:val="32"/>
          <w:szCs w:val="32"/>
        </w:rPr>
        <w:t>%,主要是</w:t>
      </w:r>
      <w:r>
        <w:rPr>
          <w:rFonts w:ascii="仿宋_GB2312" w:hAnsi="仿宋_GB2312" w:eastAsia="仿宋_GB2312" w:cs="DengXian-Regular"/>
          <w:sz w:val="32"/>
          <w:szCs w:val="32"/>
          <w:lang w:eastAsia="zh-CN"/>
        </w:rPr>
        <w:t>因公出国经费少于上年度</w:t>
      </w:r>
      <w:r>
        <w:rPr>
          <w:rFonts w:ascii="仿宋_GB2312" w:hAnsi="仿宋_GB2312" w:eastAsia="仿宋_GB2312" w:cs="DengXian-Regular"/>
          <w:sz w:val="32"/>
          <w:szCs w:val="32"/>
        </w:rPr>
        <w:t>。</w:t>
      </w:r>
    </w:p>
    <w:p>
      <w:pPr>
        <w:pStyle w:val="6"/>
        <w:snapToGrid w:val="0"/>
        <w:spacing w:line="580" w:lineRule="exact"/>
        <w:ind w:firstLine="643"/>
        <w:rPr>
          <w:rFonts w:ascii="仿宋_GB2312" w:hAnsi="仿宋_GB2312" w:eastAsia="仿宋_GB2312" w:cs="DengXian-Bold"/>
          <w:b/>
          <w:bCs/>
          <w:sz w:val="32"/>
          <w:szCs w:val="32"/>
        </w:rPr>
      </w:pPr>
      <w:r>
        <w:rPr>
          <w:rFonts w:ascii="楷体_GB2312" w:hAnsi="楷体_GB2312" w:eastAsia="楷体_GB2312" w:cs="DengXian-Bold"/>
          <w:b/>
          <w:bCs/>
          <w:sz w:val="32"/>
          <w:szCs w:val="32"/>
        </w:rPr>
        <w:t>（二）公务用车购置及运行维护费支出</w:t>
      </w:r>
      <w:r>
        <w:rPr>
          <w:rFonts w:ascii="楷体_GB2312" w:hAnsi="楷体_GB2312" w:eastAsia="楷体_GB2312" w:cs="DengXian-Bold"/>
          <w:b/>
          <w:bCs/>
          <w:sz w:val="32"/>
          <w:szCs w:val="32"/>
          <w:lang w:val="en-US" w:eastAsia="zh-CN"/>
        </w:rPr>
        <w:t>50.45</w:t>
      </w:r>
      <w:r>
        <w:rPr>
          <w:rFonts w:ascii="楷体_GB2312" w:hAnsi="楷体_GB2312" w:eastAsia="楷体_GB2312" w:cs="DengXian-Bold"/>
          <w:b/>
          <w:bCs/>
          <w:sz w:val="32"/>
          <w:szCs w:val="32"/>
        </w:rPr>
        <w:t>万元。</w:t>
      </w:r>
      <w:r>
        <w:rPr>
          <w:rFonts w:ascii="仿宋_GB2312" w:hAnsi="仿宋_GB2312" w:eastAsia="仿宋_GB2312" w:cs="DengXian-Regular"/>
          <w:sz w:val="32"/>
          <w:szCs w:val="32"/>
        </w:rPr>
        <w:t>本部门2019年度公务用车购置及运行维护费较预算减少</w:t>
      </w:r>
      <w:r>
        <w:rPr>
          <w:rFonts w:ascii="仿宋_GB2312" w:hAnsi="仿宋_GB2312" w:eastAsia="仿宋_GB2312" w:cs="DengXian-Regular"/>
          <w:sz w:val="32"/>
          <w:szCs w:val="32"/>
          <w:lang w:val="en-US" w:eastAsia="zh-CN"/>
        </w:rPr>
        <w:t>18.65</w:t>
      </w:r>
      <w:r>
        <w:rPr>
          <w:rFonts w:ascii="仿宋_GB2312" w:hAnsi="仿宋_GB2312" w:eastAsia="仿宋_GB2312" w:cs="DengXian-Regular"/>
          <w:sz w:val="32"/>
          <w:szCs w:val="32"/>
        </w:rPr>
        <w:t>万元，降低</w:t>
      </w:r>
      <w:r>
        <w:rPr>
          <w:rFonts w:ascii="仿宋_GB2312" w:hAnsi="仿宋_GB2312" w:eastAsia="仿宋_GB2312" w:cs="DengXian-Regular"/>
          <w:sz w:val="32"/>
          <w:szCs w:val="32"/>
          <w:lang w:val="en-US" w:eastAsia="zh-CN"/>
        </w:rPr>
        <w:t>26.99</w:t>
      </w:r>
      <w:r>
        <w:rPr>
          <w:rFonts w:ascii="仿宋_GB2312" w:hAnsi="仿宋_GB2312" w:eastAsia="仿宋_GB2312" w:cs="DengXian-Regular"/>
          <w:sz w:val="32"/>
          <w:szCs w:val="32"/>
        </w:rPr>
        <w:t>%,主要是</w:t>
      </w:r>
      <w:r>
        <w:rPr>
          <w:rFonts w:ascii="仿宋_GB2312" w:hAnsi="仿宋_GB2312" w:eastAsia="仿宋_GB2312" w:cs="仿宋_GB2312"/>
          <w:color w:val="000000"/>
          <w:kern w:val="0"/>
          <w:sz w:val="31"/>
          <w:szCs w:val="31"/>
          <w:lang w:val="en-US" w:eastAsia="zh-CN" w:bidi="ar"/>
        </w:rPr>
        <w:t>切实压缩公务用车运行维护支出，厉行节约</w:t>
      </w:r>
      <w:r>
        <w:rPr>
          <w:rFonts w:ascii="仿宋_GB2312" w:hAnsi="仿宋_GB2312" w:eastAsia="仿宋_GB2312" w:cs="DengXian-Regular"/>
          <w:sz w:val="32"/>
          <w:szCs w:val="32"/>
        </w:rPr>
        <w:t>；较上年减少</w:t>
      </w:r>
      <w:r>
        <w:rPr>
          <w:rFonts w:ascii="仿宋_GB2312" w:hAnsi="仿宋_GB2312" w:eastAsia="仿宋_GB2312" w:cs="DengXian-Regular"/>
          <w:sz w:val="32"/>
          <w:szCs w:val="32"/>
          <w:lang w:val="en-US" w:eastAsia="zh-CN"/>
        </w:rPr>
        <w:t>7.35</w:t>
      </w:r>
      <w:r>
        <w:rPr>
          <w:rFonts w:ascii="仿宋_GB2312" w:hAnsi="仿宋_GB2312" w:eastAsia="仿宋_GB2312" w:cs="DengXian-Regular"/>
          <w:sz w:val="32"/>
          <w:szCs w:val="32"/>
        </w:rPr>
        <w:t>万元，降低</w:t>
      </w:r>
      <w:r>
        <w:rPr>
          <w:rFonts w:ascii="仿宋_GB2312" w:hAnsi="仿宋_GB2312" w:eastAsia="仿宋_GB2312" w:cs="DengXian-Regular"/>
          <w:sz w:val="32"/>
          <w:szCs w:val="32"/>
          <w:lang w:val="en-US" w:eastAsia="zh-CN"/>
        </w:rPr>
        <w:t>12.72</w:t>
      </w:r>
      <w:r>
        <w:rPr>
          <w:rFonts w:ascii="仿宋_GB2312" w:hAnsi="仿宋_GB2312" w:eastAsia="仿宋_GB2312" w:cs="DengXian-Regular"/>
          <w:sz w:val="32"/>
          <w:szCs w:val="32"/>
        </w:rPr>
        <w:t>%,主要是</w:t>
      </w:r>
      <w:r>
        <w:rPr>
          <w:rFonts w:ascii="仿宋_GB2312" w:hAnsi="仿宋_GB2312" w:eastAsia="仿宋_GB2312" w:cs="仿宋_GB2312"/>
          <w:color w:val="000000"/>
          <w:kern w:val="0"/>
          <w:sz w:val="31"/>
          <w:szCs w:val="31"/>
          <w:lang w:val="en-US" w:eastAsia="zh-CN" w:bidi="ar"/>
        </w:rPr>
        <w:t>公务用车少于上年度。</w:t>
      </w:r>
      <w:r>
        <w:rPr>
          <w:rFonts w:ascii="仿宋_GB2312" w:hAnsi="仿宋_GB2312" w:eastAsia="仿宋_GB2312" w:cs="DengXian-Bold"/>
          <w:b/>
          <w:bCs/>
          <w:sz w:val="32"/>
          <w:szCs w:val="32"/>
        </w:rPr>
        <w:t>其中：</w:t>
      </w:r>
    </w:p>
    <w:p>
      <w:pPr>
        <w:pStyle w:val="6"/>
        <w:snapToGrid w:val="0"/>
        <w:spacing w:line="580" w:lineRule="exact"/>
        <w:ind w:firstLine="643"/>
        <w:rPr>
          <w:rFonts w:ascii="仿宋_GB2312" w:hAnsi="仿宋_GB2312" w:eastAsia="仿宋_GB2312" w:cs="DengXian-Regular"/>
          <w:sz w:val="32"/>
          <w:szCs w:val="32"/>
          <w:lang w:val="en-US" w:eastAsia="zh-CN"/>
        </w:rPr>
      </w:pPr>
      <w:r>
        <w:rPr>
          <w:rFonts w:ascii="仿宋_GB2312" w:hAnsi="仿宋_GB2312" w:eastAsia="仿宋_GB2312" w:cs="DengXian-Regular"/>
          <w:b/>
          <w:sz w:val="32"/>
          <w:szCs w:val="32"/>
        </w:rPr>
        <w:t>公务用车购置费：</w:t>
      </w:r>
      <w:r>
        <w:rPr>
          <w:rFonts w:ascii="仿宋_GB2312" w:hAnsi="仿宋_GB2312" w:eastAsia="仿宋_GB2312" w:cs="DengXian-Regular"/>
          <w:sz w:val="32"/>
          <w:szCs w:val="32"/>
        </w:rPr>
        <w:t>本部门2019年度</w:t>
      </w:r>
      <w:r>
        <w:rPr>
          <w:rFonts w:ascii="仿宋_GB2312" w:hAnsi="仿宋_GB2312" w:eastAsia="仿宋_GB2312" w:cs="DengXian-Regular"/>
          <w:sz w:val="32"/>
          <w:szCs w:val="32"/>
          <w:lang w:eastAsia="zh-CN"/>
        </w:rPr>
        <w:t>未发生</w:t>
      </w:r>
      <w:r>
        <w:rPr>
          <w:rFonts w:ascii="仿宋_GB2312" w:hAnsi="仿宋_GB2312" w:eastAsia="仿宋_GB2312" w:cs="DengXian-Regular"/>
          <w:sz w:val="32"/>
          <w:szCs w:val="32"/>
        </w:rPr>
        <w:t>“公务用车购置”经费支出</w:t>
      </w:r>
      <w:r>
        <w:rPr>
          <w:rFonts w:ascii="仿宋_GB2312" w:hAnsi="仿宋_GB2312" w:eastAsia="仿宋_GB2312" w:cs="DengXian-Regular"/>
          <w:sz w:val="32"/>
          <w:szCs w:val="32"/>
          <w:lang w:eastAsia="zh-CN"/>
        </w:rPr>
        <w:t>，与年初预算持平，与</w:t>
      </w:r>
      <w:r>
        <w:rPr>
          <w:rFonts w:ascii="仿宋_GB2312" w:hAnsi="仿宋_GB2312" w:eastAsia="仿宋_GB2312" w:cs="DengXian-Regular"/>
          <w:sz w:val="32"/>
          <w:szCs w:val="32"/>
          <w:lang w:val="en-US" w:eastAsia="zh-CN"/>
        </w:rPr>
        <w:t>2018年度决算持平。</w:t>
      </w:r>
    </w:p>
    <w:p>
      <w:pPr>
        <w:pStyle w:val="6"/>
        <w:keepNext w:val="0"/>
        <w:keepLines w:val="0"/>
        <w:widowControl/>
        <w:ind w:firstLine="643"/>
        <w:jc w:val="left"/>
        <w:rPr>
          <w:rFonts w:ascii="Times New Roman" w:hAnsi="Times New Roman" w:eastAsia="黑体" w:cs="Times New Roman"/>
          <w:sz w:val="32"/>
          <w:szCs w:val="32"/>
        </w:rPr>
      </w:pPr>
      <w:r>
        <w:rPr>
          <w:rFonts w:ascii="仿宋_GB2312" w:hAnsi="仿宋_GB2312" w:eastAsia="仿宋_GB2312" w:cs="DengXian-Regular"/>
          <w:b/>
          <w:bCs/>
          <w:sz w:val="32"/>
          <w:szCs w:val="32"/>
          <w:lang w:val="en-US" w:eastAsia="zh-CN"/>
        </w:rPr>
        <w:t>公</w:t>
      </w:r>
      <w:r>
        <w:rPr>
          <w:rFonts w:ascii="仿宋_GB2312" w:hAnsi="仿宋_GB2312" w:eastAsia="仿宋_GB2312" w:cs="DengXian-Regular"/>
          <w:b/>
          <w:bCs/>
          <w:sz w:val="32"/>
          <w:szCs w:val="32"/>
        </w:rPr>
        <w:t>务用</w:t>
      </w:r>
      <w:r>
        <w:rPr>
          <w:rFonts w:ascii="仿宋_GB2312" w:hAnsi="仿宋_GB2312" w:eastAsia="仿宋_GB2312" w:cs="DengXian-Regular"/>
          <w:b/>
          <w:sz w:val="32"/>
          <w:szCs w:val="32"/>
        </w:rPr>
        <w:t>车运行维护费：</w:t>
      </w:r>
      <w:r>
        <w:rPr>
          <w:rFonts w:ascii="仿宋_GB2312" w:hAnsi="仿宋_GB2312" w:eastAsia="仿宋_GB2312" w:cs="DengXian-Regular"/>
          <w:sz w:val="32"/>
          <w:szCs w:val="32"/>
        </w:rPr>
        <w:t>本部门2019年度单位公务用车保有量</w:t>
      </w:r>
      <w:r>
        <w:rPr>
          <w:rFonts w:ascii="仿宋_GB2312" w:hAnsi="仿宋_GB2312" w:eastAsia="仿宋_GB2312" w:cs="DengXian-Regular"/>
          <w:sz w:val="32"/>
          <w:szCs w:val="32"/>
          <w:lang w:val="en-US" w:eastAsia="zh-CN"/>
        </w:rPr>
        <w:t>13</w:t>
      </w:r>
      <w:r>
        <w:rPr>
          <w:rFonts w:ascii="仿宋_GB2312" w:hAnsi="仿宋_GB2312" w:eastAsia="仿宋_GB2312" w:cs="DengXian-Regular"/>
          <w:sz w:val="32"/>
          <w:szCs w:val="32"/>
        </w:rPr>
        <w:t>辆。公车运行维护费支出较预算减少</w:t>
      </w:r>
      <w:r>
        <w:rPr>
          <w:rFonts w:ascii="仿宋_GB2312" w:hAnsi="仿宋_GB2312" w:eastAsia="仿宋_GB2312" w:cs="DengXian-Regular"/>
          <w:sz w:val="32"/>
          <w:szCs w:val="32"/>
          <w:lang w:val="en-US" w:eastAsia="zh-CN"/>
        </w:rPr>
        <w:t>18.65</w:t>
      </w:r>
      <w:r>
        <w:rPr>
          <w:rFonts w:ascii="仿宋_GB2312" w:hAnsi="仿宋_GB2312" w:eastAsia="仿宋_GB2312" w:cs="DengXian-Regular"/>
          <w:sz w:val="32"/>
          <w:szCs w:val="32"/>
        </w:rPr>
        <w:t>万元，降低</w:t>
      </w:r>
      <w:r>
        <w:rPr>
          <w:rFonts w:ascii="仿宋_GB2312" w:hAnsi="仿宋_GB2312" w:eastAsia="仿宋_GB2312" w:cs="DengXian-Regular"/>
          <w:sz w:val="32"/>
          <w:szCs w:val="32"/>
          <w:lang w:val="en-US" w:eastAsia="zh-CN"/>
        </w:rPr>
        <w:t>26.99</w:t>
      </w:r>
      <w:r>
        <w:rPr>
          <w:rFonts w:ascii="仿宋_GB2312" w:hAnsi="仿宋_GB2312" w:eastAsia="仿宋_GB2312" w:cs="DengXian-Regular"/>
          <w:sz w:val="32"/>
          <w:szCs w:val="32"/>
        </w:rPr>
        <w:t>%,主要是</w:t>
      </w:r>
      <w:r>
        <w:rPr>
          <w:rFonts w:ascii="仿宋_GB2312" w:hAnsi="仿宋_GB2312" w:eastAsia="仿宋_GB2312" w:cs="仿宋_GB2312"/>
          <w:color w:val="000000"/>
          <w:kern w:val="0"/>
          <w:sz w:val="31"/>
          <w:szCs w:val="31"/>
          <w:lang w:val="en-US" w:eastAsia="zh-CN" w:bidi="ar"/>
        </w:rPr>
        <w:t>切实压缩公务用车运行维护支出，厉行节约；</w:t>
      </w:r>
      <w:r>
        <w:rPr>
          <w:rFonts w:ascii="仿宋_GB2312" w:hAnsi="仿宋_GB2312" w:eastAsia="仿宋_GB2312" w:cs="DengXian-Regular"/>
          <w:sz w:val="32"/>
          <w:szCs w:val="32"/>
        </w:rPr>
        <w:t>较上年减少</w:t>
      </w:r>
      <w:r>
        <w:rPr>
          <w:rFonts w:ascii="仿宋_GB2312" w:hAnsi="仿宋_GB2312" w:eastAsia="仿宋_GB2312" w:cs="DengXian-Regular"/>
          <w:sz w:val="32"/>
          <w:szCs w:val="32"/>
          <w:lang w:val="en-US" w:eastAsia="zh-CN"/>
        </w:rPr>
        <w:t>7.35</w:t>
      </w:r>
      <w:r>
        <w:rPr>
          <w:rFonts w:ascii="仿宋_GB2312" w:hAnsi="仿宋_GB2312" w:eastAsia="仿宋_GB2312" w:cs="DengXian-Regular"/>
          <w:sz w:val="32"/>
          <w:szCs w:val="32"/>
        </w:rPr>
        <w:t>万元，降低</w:t>
      </w:r>
      <w:r>
        <w:rPr>
          <w:rFonts w:ascii="仿宋_GB2312" w:hAnsi="仿宋_GB2312" w:eastAsia="仿宋_GB2312" w:cs="DengXian-Regular"/>
          <w:sz w:val="32"/>
          <w:szCs w:val="32"/>
          <w:lang w:val="en-US" w:eastAsia="zh-CN"/>
        </w:rPr>
        <w:t>12.72</w:t>
      </w:r>
      <w:r>
        <w:rPr>
          <w:rFonts w:ascii="仿宋_GB2312" w:hAnsi="仿宋_GB2312" w:eastAsia="仿宋_GB2312" w:cs="DengXian-Regular"/>
          <w:sz w:val="32"/>
          <w:szCs w:val="32"/>
        </w:rPr>
        <w:t>%,主要是</w:t>
      </w:r>
      <w:r>
        <w:rPr>
          <w:rFonts w:ascii="仿宋_GB2312" w:hAnsi="仿宋_GB2312" w:eastAsia="仿宋_GB2312" w:cs="仿宋_GB2312"/>
          <w:color w:val="000000"/>
          <w:kern w:val="0"/>
          <w:sz w:val="31"/>
          <w:szCs w:val="31"/>
          <w:lang w:val="en-US" w:eastAsia="zh-CN" w:bidi="ar"/>
        </w:rPr>
        <w:t>公务用车少于上年度。</w:t>
      </w:r>
    </w:p>
    <w:p>
      <w:pPr>
        <w:pStyle w:val="6"/>
        <w:keepNext w:val="0"/>
        <w:keepLines w:val="0"/>
        <w:widowControl/>
        <w:ind w:firstLine="643"/>
        <w:jc w:val="left"/>
        <w:rPr>
          <w:rFonts w:ascii="Times New Roman" w:hAnsi="Times New Roman" w:eastAsia="黑体" w:cs="Times New Roman"/>
          <w:sz w:val="32"/>
          <w:szCs w:val="32"/>
        </w:rPr>
      </w:pPr>
      <w:r>
        <w:rPr>
          <w:rFonts w:ascii="楷体_GB2312" w:hAnsi="楷体_GB2312" w:eastAsia="楷体_GB2312" w:cs="DengXian-Bold"/>
          <w:b/>
          <w:bCs/>
          <w:sz w:val="32"/>
          <w:szCs w:val="32"/>
        </w:rPr>
        <w:t>（三）公务接待费支出</w:t>
      </w:r>
      <w:r>
        <w:rPr>
          <w:rFonts w:ascii="楷体_GB2312" w:hAnsi="楷体_GB2312" w:eastAsia="楷体_GB2312" w:cs="DengXian-Bold"/>
          <w:b/>
          <w:bCs/>
          <w:sz w:val="32"/>
          <w:szCs w:val="32"/>
          <w:lang w:val="en-US" w:eastAsia="zh-CN"/>
        </w:rPr>
        <w:t>0.94</w:t>
      </w:r>
      <w:r>
        <w:rPr>
          <w:rFonts w:ascii="楷体_GB2312" w:hAnsi="楷体_GB2312" w:eastAsia="楷体_GB2312" w:cs="DengXian-Bold"/>
          <w:b/>
          <w:bCs/>
          <w:sz w:val="32"/>
          <w:szCs w:val="32"/>
        </w:rPr>
        <w:t>万元。</w:t>
      </w:r>
      <w:r>
        <w:rPr>
          <w:rFonts w:ascii="仿宋_GB2312" w:hAnsi="仿宋_GB2312" w:eastAsia="仿宋_GB2312" w:cs="DengXian-Regular"/>
          <w:sz w:val="32"/>
          <w:szCs w:val="32"/>
        </w:rPr>
        <w:t>本部门2019年度公务接待共</w:t>
      </w:r>
      <w:r>
        <w:rPr>
          <w:rFonts w:ascii="仿宋_GB2312" w:hAnsi="仿宋_GB2312" w:eastAsia="仿宋_GB2312" w:cs="DengXian-Regular"/>
          <w:sz w:val="32"/>
          <w:szCs w:val="32"/>
          <w:lang w:val="en-US" w:eastAsia="zh-CN"/>
        </w:rPr>
        <w:t>6</w:t>
      </w:r>
      <w:r>
        <w:rPr>
          <w:rFonts w:ascii="仿宋_GB2312" w:hAnsi="仿宋_GB2312" w:eastAsia="仿宋_GB2312" w:cs="DengXian-Regular"/>
          <w:sz w:val="32"/>
          <w:szCs w:val="32"/>
        </w:rPr>
        <w:t>批次、</w:t>
      </w:r>
      <w:r>
        <w:rPr>
          <w:rFonts w:ascii="仿宋_GB2312" w:hAnsi="仿宋_GB2312" w:eastAsia="仿宋_GB2312" w:cs="DengXian-Regular"/>
          <w:sz w:val="32"/>
          <w:szCs w:val="32"/>
          <w:lang w:val="en-US" w:eastAsia="zh-CN"/>
        </w:rPr>
        <w:t>32</w:t>
      </w:r>
      <w:r>
        <w:rPr>
          <w:rFonts w:ascii="仿宋_GB2312" w:hAnsi="仿宋_GB2312" w:eastAsia="仿宋_GB2312" w:cs="DengXian-Regular"/>
          <w:sz w:val="32"/>
          <w:szCs w:val="32"/>
        </w:rPr>
        <w:t>人次。公务接待费支出较预算减少</w:t>
      </w:r>
      <w:r>
        <w:rPr>
          <w:rFonts w:ascii="仿宋_GB2312" w:hAnsi="仿宋_GB2312" w:eastAsia="仿宋_GB2312" w:cs="DengXian-Regular"/>
          <w:sz w:val="32"/>
          <w:szCs w:val="32"/>
          <w:lang w:val="en-US" w:eastAsia="zh-CN"/>
        </w:rPr>
        <w:t>0.63</w:t>
      </w:r>
      <w:r>
        <w:rPr>
          <w:rFonts w:ascii="仿宋_GB2312" w:hAnsi="仿宋_GB2312" w:eastAsia="仿宋_GB2312" w:cs="DengXian-Regular"/>
          <w:sz w:val="32"/>
          <w:szCs w:val="32"/>
        </w:rPr>
        <w:t>万元，降低</w:t>
      </w:r>
      <w:r>
        <w:rPr>
          <w:rFonts w:ascii="仿宋_GB2312" w:hAnsi="仿宋_GB2312" w:eastAsia="仿宋_GB2312" w:cs="DengXian-Regular"/>
          <w:sz w:val="32"/>
          <w:szCs w:val="32"/>
          <w:lang w:val="en-US" w:eastAsia="zh-CN"/>
        </w:rPr>
        <w:t>40.13</w:t>
      </w:r>
      <w:r>
        <w:rPr>
          <w:rFonts w:ascii="仿宋_GB2312" w:hAnsi="仿宋_GB2312" w:eastAsia="仿宋_GB2312" w:cs="DengXian-Regular"/>
          <w:sz w:val="32"/>
          <w:szCs w:val="32"/>
        </w:rPr>
        <w:t>%,主要是</w:t>
      </w:r>
      <w:r>
        <w:rPr>
          <w:rFonts w:ascii="仿宋_GB2312" w:hAnsi="仿宋_GB2312" w:eastAsia="仿宋_GB2312" w:cs="仿宋_GB2312"/>
          <w:color w:val="000000"/>
          <w:kern w:val="0"/>
          <w:sz w:val="31"/>
          <w:szCs w:val="31"/>
          <w:lang w:val="en-US" w:eastAsia="zh-CN" w:bidi="ar"/>
        </w:rPr>
        <w:t xml:space="preserve">积极贯彻落实关于厉行节约的要求，严格控制公务接待费支出；较 </w:t>
      </w:r>
      <w:r>
        <w:rPr>
          <w:rFonts w:ascii="Times New Roman" w:hAnsi="Times New Roman" w:eastAsia="宋体" w:cs="Times New Roman"/>
          <w:color w:val="000000"/>
          <w:kern w:val="0"/>
          <w:sz w:val="31"/>
          <w:szCs w:val="31"/>
          <w:lang w:val="en-US" w:eastAsia="zh-CN" w:bidi="ar"/>
        </w:rPr>
        <w:t xml:space="preserve">2018 </w:t>
      </w:r>
      <w:r>
        <w:rPr>
          <w:rFonts w:ascii="仿宋_GB2312" w:hAnsi="仿宋_GB2312" w:eastAsia="仿宋_GB2312" w:cs="仿宋_GB2312"/>
          <w:color w:val="000000"/>
          <w:kern w:val="0"/>
          <w:sz w:val="31"/>
          <w:szCs w:val="31"/>
          <w:lang w:val="en-US" w:eastAsia="zh-CN" w:bidi="ar"/>
        </w:rPr>
        <w:t xml:space="preserve">年度减少 </w:t>
      </w:r>
      <w:r>
        <w:rPr>
          <w:rFonts w:ascii="Times New Roman" w:hAnsi="Times New Roman" w:eastAsia="宋体" w:cs="Times New Roman"/>
          <w:color w:val="000000"/>
          <w:kern w:val="0"/>
          <w:sz w:val="31"/>
          <w:szCs w:val="31"/>
          <w:lang w:val="en-US" w:eastAsia="zh-CN" w:bidi="ar"/>
        </w:rPr>
        <w:t xml:space="preserve">0.05 </w:t>
      </w:r>
      <w:r>
        <w:rPr>
          <w:rFonts w:ascii="仿宋_GB2312" w:hAnsi="仿宋_GB2312" w:eastAsia="仿宋_GB2312" w:cs="仿宋_GB2312"/>
          <w:color w:val="000000"/>
          <w:kern w:val="0"/>
          <w:sz w:val="31"/>
          <w:szCs w:val="31"/>
          <w:lang w:val="en-US" w:eastAsia="zh-CN" w:bidi="ar"/>
        </w:rPr>
        <w:t>万元，降低</w:t>
      </w:r>
      <w:r>
        <w:rPr>
          <w:rFonts w:ascii="Times New Roman" w:hAnsi="Times New Roman" w:eastAsia="宋体" w:cs="Times New Roman"/>
          <w:color w:val="000000"/>
          <w:kern w:val="0"/>
          <w:sz w:val="31"/>
          <w:szCs w:val="31"/>
          <w:lang w:val="en-US" w:eastAsia="zh-CN" w:bidi="ar"/>
        </w:rPr>
        <w:t>5.1%</w:t>
      </w:r>
      <w:r>
        <w:rPr>
          <w:rFonts w:ascii="仿宋_GB2312" w:hAnsi="仿宋_GB2312" w:eastAsia="仿宋_GB2312" w:cs="仿宋_GB2312"/>
          <w:color w:val="000000"/>
          <w:kern w:val="0"/>
          <w:sz w:val="31"/>
          <w:szCs w:val="31"/>
          <w:lang w:val="en-US" w:eastAsia="zh-CN" w:bidi="ar"/>
        </w:rPr>
        <w:t xml:space="preserve">，主要是接待人次少于上年度。 </w:t>
      </w:r>
    </w:p>
    <w:p>
      <w:pPr>
        <w:pStyle w:val="6"/>
        <w:snapToGrid w:val="0"/>
        <w:spacing w:line="580" w:lineRule="exact"/>
        <w:ind w:firstLine="640"/>
        <w:rPr>
          <w:rFonts w:ascii="黑体" w:hAnsi="黑体" w:eastAsia="黑体" w:cs="Times New Roman"/>
          <w:sz w:val="32"/>
          <w:szCs w:val="40"/>
        </w:rPr>
      </w:pPr>
      <w:r>
        <w:rPr>
          <w:rFonts w:ascii="黑体" w:hAnsi="黑体" w:eastAsia="黑体" w:cs="Times New Roman"/>
          <w:sz w:val="32"/>
          <w:szCs w:val="40"/>
        </w:rPr>
        <w:t>六、预算绩效情况说明</w:t>
      </w:r>
    </w:p>
    <w:p>
      <w:pPr>
        <w:pStyle w:val="6"/>
        <w:snapToGrid w:val="0"/>
        <w:spacing w:line="580" w:lineRule="exact"/>
        <w:ind w:firstLine="643"/>
        <w:rPr>
          <w:rFonts w:ascii="仿宋_GB2312" w:hAnsi="仿宋_GB2312" w:eastAsia="仿宋_GB2312" w:cs="仿宋_GB2312"/>
          <w:b/>
          <w:bCs/>
          <w:sz w:val="32"/>
          <w:szCs w:val="32"/>
        </w:rPr>
      </w:pPr>
      <w:r>
        <w:rPr>
          <w:rFonts w:ascii="仿宋_GB2312" w:hAnsi="仿宋_GB2312" w:eastAsia="仿宋_GB2312" w:cs="仿宋_GB2312"/>
          <w:b/>
          <w:bCs/>
          <w:sz w:val="32"/>
          <w:szCs w:val="32"/>
        </w:rPr>
        <w:t>1. 预算绩效管理工作开展情况。</w:t>
      </w:r>
    </w:p>
    <w:p>
      <w:pPr>
        <w:pStyle w:val="6"/>
        <w:keepNext w:val="0"/>
        <w:keepLines w:val="0"/>
        <w:widowControl/>
        <w:ind w:firstLine="640"/>
        <w:jc w:val="left"/>
        <w:rPr>
          <w:rFonts w:ascii="仿宋_GB2312" w:hAnsi="仿宋_GB2312" w:eastAsia="仿宋_GB2312" w:cs="仿宋_GB2312"/>
          <w:b/>
          <w:bCs/>
          <w:sz w:val="32"/>
          <w:szCs w:val="32"/>
        </w:rPr>
      </w:pPr>
      <w:r>
        <w:rPr>
          <w:rFonts w:ascii="仿宋_GB2312" w:hAnsi="仿宋_GB2312" w:eastAsia="仿宋_GB2312" w:cs="仿宋_GB2312"/>
          <w:sz w:val="32"/>
          <w:szCs w:val="32"/>
        </w:rPr>
        <w:t>根据预算绩效管理要求，本部门组织对2019年度一般公共预算项目支出全面开展绩效自评，</w:t>
      </w:r>
      <w:r>
        <w:rPr>
          <w:rFonts w:ascii="仿宋_GB2312" w:hAnsi="仿宋_GB2312" w:eastAsia="仿宋_GB2312" w:cs="仿宋_GB2312"/>
          <w:sz w:val="32"/>
          <w:szCs w:val="32"/>
          <w:lang w:eastAsia="zh-CN"/>
        </w:rPr>
        <w:t>共自评</w:t>
      </w:r>
      <w:r>
        <w:rPr>
          <w:rFonts w:ascii="仿宋_GB2312" w:hAnsi="仿宋_GB2312" w:eastAsia="仿宋_GB2312" w:cs="仿宋_GB2312"/>
          <w:sz w:val="32"/>
          <w:szCs w:val="32"/>
        </w:rPr>
        <w:t>项目</w:t>
      </w:r>
      <w:r>
        <w:rPr>
          <w:rFonts w:ascii="仿宋_GB2312" w:hAnsi="仿宋_GB2312" w:eastAsia="仿宋_GB2312" w:cs="仿宋_GB2312"/>
          <w:sz w:val="32"/>
          <w:szCs w:val="32"/>
          <w:lang w:val="en-US" w:eastAsia="zh-CN"/>
        </w:rPr>
        <w:t>11</w:t>
      </w:r>
      <w:r>
        <w:rPr>
          <w:rFonts w:ascii="仿宋_GB2312" w:hAnsi="仿宋_GB2312" w:eastAsia="仿宋_GB2312" w:cs="仿宋_GB2312"/>
          <w:sz w:val="32"/>
          <w:szCs w:val="32"/>
        </w:rPr>
        <w:t>个，共涉及资金</w:t>
      </w:r>
      <w:r>
        <w:rPr>
          <w:rStyle w:val="5"/>
          <w:rFonts w:ascii="仿宋" w:hAnsi="仿宋" w:eastAsia="仿宋" w:cs="仿宋"/>
          <w:b/>
          <w:bCs w:val="0"/>
          <w:sz w:val="32"/>
          <w:szCs w:val="32"/>
          <w:lang w:val="en-US" w:eastAsia="zh-CN"/>
        </w:rPr>
        <w:t xml:space="preserve"> </w:t>
      </w:r>
      <w:r>
        <w:rPr>
          <w:rFonts w:ascii="仿宋" w:hAnsi="仿宋" w:eastAsia="仿宋" w:cs="仿宋"/>
          <w:sz w:val="32"/>
          <w:szCs w:val="32"/>
          <w:lang w:val="en-US" w:eastAsia="zh-CN"/>
        </w:rPr>
        <w:t>1058.3万元。</w:t>
      </w:r>
      <w:r>
        <w:rPr>
          <w:rFonts w:ascii="仿宋_GB2312" w:hAnsi="仿宋_GB2312" w:eastAsia="仿宋_GB2312" w:cs="仿宋_GB2312"/>
          <w:sz w:val="32"/>
          <w:szCs w:val="32"/>
        </w:rPr>
        <w:t>占一般公共预算项目支出总额的</w:t>
      </w:r>
      <w:r>
        <w:rPr>
          <w:rFonts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ascii="仿宋_GB2312" w:hAnsi="仿宋_GB2312" w:eastAsia="仿宋_GB2312" w:cs="仿宋_GB2312"/>
          <w:sz w:val="32"/>
          <w:szCs w:val="32"/>
          <w:lang w:eastAsia="zh-CN"/>
        </w:rPr>
        <w:t>从评价结果来看，我局</w:t>
      </w:r>
      <w:r>
        <w:rPr>
          <w:rFonts w:ascii="仿宋_GB2312" w:hAnsi="仿宋_GB2312" w:eastAsia="仿宋_GB2312" w:cs="仿宋_GB2312"/>
          <w:color w:val="000000"/>
          <w:kern w:val="0"/>
          <w:sz w:val="31"/>
          <w:szCs w:val="31"/>
          <w:lang w:val="en-US" w:eastAsia="zh-CN" w:bidi="ar"/>
        </w:rPr>
        <w:t>注重绩效预算执行，强化财务监督。加强预算资金事前、事中、事后的全方位监管，注重资金支出绩效，最大限度的发挥财政资金效益。对预算执行绩效情况进行跟踪监控，及时掌握各项目承担单位的项目实施进展、资金拨付和有关绩效指标完成情况，确保绩效目标实现。</w:t>
      </w:r>
    </w:p>
    <w:p>
      <w:pPr>
        <w:pStyle w:val="6"/>
        <w:keepNext w:val="0"/>
        <w:keepLines w:val="0"/>
        <w:widowControl/>
        <w:numPr>
          <w:ilvl w:val="0"/>
          <w:numId w:val="0"/>
        </w:numPr>
        <w:ind w:left="0" w:firstLine="622"/>
        <w:jc w:val="left"/>
        <w:rPr>
          <w:rFonts w:ascii="Times New Roman" w:hAnsi="Times New Roman" w:eastAsia="黑体" w:cs="Times New Roman"/>
          <w:sz w:val="32"/>
          <w:szCs w:val="32"/>
        </w:rPr>
      </w:pPr>
      <w:r>
        <w:rPr>
          <w:rFonts w:ascii="仿宋_GB2312" w:hAnsi="仿宋_GB2312" w:eastAsia="仿宋_GB2312" w:cs="仿宋_GB2312"/>
          <w:b/>
          <w:bCs/>
          <w:color w:val="000000"/>
          <w:kern w:val="0"/>
          <w:sz w:val="31"/>
          <w:szCs w:val="31"/>
          <w:lang w:val="en-US" w:eastAsia="zh-CN" w:bidi="ar"/>
        </w:rPr>
        <w:t>2、部门决算中项目绩效自评结果。</w:t>
      </w:r>
      <w:r>
        <w:rPr>
          <w:rFonts w:ascii="仿宋_GB2312" w:hAnsi="仿宋_GB2312" w:eastAsia="仿宋_GB2312" w:cs="仿宋_GB2312"/>
          <w:color w:val="000000"/>
          <w:kern w:val="0"/>
          <w:sz w:val="31"/>
          <w:szCs w:val="31"/>
          <w:lang w:val="en-US" w:eastAsia="zh-CN" w:bidi="ar"/>
        </w:rPr>
        <w:t xml:space="preserve"> 本部门在</w:t>
      </w:r>
      <w:r>
        <w:rPr>
          <w:rFonts w:ascii="仿宋_GB2312" w:hAnsi="仿宋_GB2312" w:eastAsia="仿宋_GB2312" w:cs="仿宋_GB2312"/>
          <w:sz w:val="32"/>
          <w:szCs w:val="32"/>
        </w:rPr>
        <w:t>今年部门决算公开中</w:t>
      </w:r>
      <w:r>
        <w:rPr>
          <w:rFonts w:ascii="仿宋_GB2312" w:hAnsi="仿宋_GB2312" w:eastAsia="仿宋_GB2312" w:cs="仿宋_GB2312"/>
          <w:color w:val="000000"/>
          <w:kern w:val="0"/>
          <w:sz w:val="31"/>
          <w:szCs w:val="31"/>
          <w:lang w:val="en-US" w:eastAsia="zh-CN" w:bidi="ar"/>
        </w:rPr>
        <w:t>反映</w:t>
      </w:r>
      <w:r>
        <w:rPr>
          <w:rFonts w:ascii="仿宋" w:hAnsi="仿宋" w:eastAsia="仿宋" w:cs="仿宋"/>
          <w:sz w:val="32"/>
          <w:szCs w:val="32"/>
          <w:lang w:eastAsia="zh-CN"/>
        </w:rPr>
        <w:t>金属非金属矿山“专家会诊”隐患排查项目</w:t>
      </w:r>
      <w:r>
        <w:rPr>
          <w:rFonts w:ascii="仿宋_GB2312" w:hAnsi="仿宋_GB2312" w:eastAsia="仿宋_GB2312" w:cs="仿宋_GB2312"/>
          <w:color w:val="000000"/>
          <w:kern w:val="0"/>
          <w:sz w:val="31"/>
          <w:szCs w:val="31"/>
          <w:lang w:val="en-US" w:eastAsia="zh-CN" w:bidi="ar"/>
        </w:rPr>
        <w:t>及2019年自然灾害救助专项</w:t>
      </w:r>
      <w:r>
        <w:rPr>
          <w:rFonts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个项目绩效自评结果。</w:t>
      </w:r>
    </w:p>
    <w:p>
      <w:pPr>
        <w:pStyle w:val="6"/>
        <w:widowControl w:val="0"/>
        <w:numPr>
          <w:ilvl w:val="0"/>
          <w:numId w:val="0"/>
        </w:numPr>
        <w:snapToGrid w:val="0"/>
        <w:spacing w:line="580" w:lineRule="exact"/>
        <w:ind w:left="0" w:firstLine="0"/>
        <w:jc w:val="both"/>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t xml:space="preserve">    （1）</w:t>
      </w:r>
      <w:r>
        <w:rPr>
          <w:rFonts w:ascii="仿宋" w:hAnsi="仿宋" w:eastAsia="仿宋" w:cs="仿宋"/>
          <w:sz w:val="32"/>
          <w:szCs w:val="32"/>
          <w:lang w:eastAsia="zh-CN"/>
        </w:rPr>
        <w:t>金属非金属矿山“专家会诊”隐患排查项目</w:t>
      </w:r>
      <w:r>
        <w:rPr>
          <w:rFonts w:ascii="仿宋" w:hAnsi="仿宋" w:eastAsia="仿宋" w:cs="仿宋"/>
          <w:color w:val="000000"/>
          <w:kern w:val="0"/>
          <w:sz w:val="32"/>
          <w:szCs w:val="32"/>
          <w:lang w:val="en-US" w:eastAsia="zh-CN" w:bidi="ar"/>
        </w:rPr>
        <w:t>自评综述</w:t>
      </w:r>
      <w:r>
        <w:rPr>
          <w:rFonts w:ascii="宋体" w:hAnsi="宋体" w:eastAsia="宋体" w:cs="宋体"/>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根据年初设定的绩效目标，</w:t>
      </w:r>
      <w:r>
        <w:rPr>
          <w:rFonts w:ascii="仿宋" w:hAnsi="仿宋" w:eastAsia="仿宋" w:cs="仿宋"/>
          <w:sz w:val="32"/>
          <w:szCs w:val="32"/>
          <w:lang w:eastAsia="zh-CN"/>
        </w:rPr>
        <w:t>金属非金属矿山“专家会诊”隐患排查项目</w:t>
      </w:r>
      <w:r>
        <w:rPr>
          <w:rFonts w:ascii="仿宋_GB2312" w:hAnsi="仿宋_GB2312" w:eastAsia="仿宋_GB2312" w:cs="仿宋_GB2312"/>
          <w:color w:val="000000"/>
          <w:kern w:val="0"/>
          <w:sz w:val="31"/>
          <w:szCs w:val="31"/>
          <w:lang w:val="en-US" w:eastAsia="zh-CN" w:bidi="ar"/>
        </w:rPr>
        <w:t>绩效自评得分为</w:t>
      </w:r>
      <w:r>
        <w:rPr>
          <w:rFonts w:ascii="Times New Roman" w:hAnsi="Times New Roman" w:eastAsia="宋体" w:cs="Times New Roman"/>
          <w:color w:val="000000"/>
          <w:kern w:val="0"/>
          <w:sz w:val="31"/>
          <w:szCs w:val="31"/>
          <w:lang w:val="en-US" w:eastAsia="zh-CN" w:bidi="ar"/>
        </w:rPr>
        <w:t xml:space="preserve">98.2 </w:t>
      </w:r>
      <w:r>
        <w:rPr>
          <w:rFonts w:ascii="仿宋_GB2312" w:hAnsi="仿宋_GB2312" w:eastAsia="仿宋_GB2312" w:cs="仿宋_GB2312"/>
          <w:color w:val="000000"/>
          <w:kern w:val="0"/>
          <w:sz w:val="31"/>
          <w:szCs w:val="31"/>
          <w:lang w:val="en-US" w:eastAsia="zh-CN" w:bidi="ar"/>
        </w:rPr>
        <w:t xml:space="preserve">分（绩效自评表附后）。全年预算数为 </w:t>
      </w:r>
      <w:r>
        <w:rPr>
          <w:rFonts w:ascii="Times New Roman" w:hAnsi="Times New Roman" w:eastAsia="宋体" w:cs="Times New Roman"/>
          <w:color w:val="000000"/>
          <w:kern w:val="0"/>
          <w:sz w:val="31"/>
          <w:szCs w:val="31"/>
          <w:lang w:val="en-US" w:eastAsia="zh-CN" w:bidi="ar"/>
        </w:rPr>
        <w:t>206.4</w:t>
      </w:r>
      <w:r>
        <w:rPr>
          <w:rFonts w:ascii="仿宋_GB2312" w:hAnsi="仿宋_GB2312" w:eastAsia="仿宋_GB2312" w:cs="仿宋_GB2312"/>
          <w:color w:val="000000"/>
          <w:kern w:val="0"/>
          <w:sz w:val="31"/>
          <w:szCs w:val="31"/>
          <w:lang w:val="en-US" w:eastAsia="zh-CN" w:bidi="ar"/>
        </w:rPr>
        <w:t>万元，执行数为172.743万元，完成预算的83.5</w:t>
      </w:r>
      <w:r>
        <w:rPr>
          <w:rFonts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。项目绩效目标完成情况：</w:t>
      </w:r>
      <w:r>
        <w:rPr>
          <w:rFonts w:ascii="仿宋_GB2312" w:hAnsi="仿宋_GB2312" w:eastAsia="仿宋_GB2312" w:cs="仿宋_GB2312"/>
          <w:sz w:val="32"/>
          <w:szCs w:val="32"/>
          <w:lang w:val="en-US" w:eastAsia="zh-CN"/>
        </w:rPr>
        <w:t>实际</w:t>
      </w:r>
      <w:r>
        <w:rPr>
          <w:rFonts w:ascii="仿宋_GB2312" w:hAnsi="仿宋_GB2312" w:eastAsia="仿宋_GB2312" w:cs="仿宋_GB2312"/>
          <w:spacing w:val="-4"/>
          <w:sz w:val="32"/>
          <w:szCs w:val="32"/>
        </w:rPr>
        <w:t>排查金属非金属矿山253座，排查整治隐患3099条</w:t>
      </w:r>
      <w:r>
        <w:rPr>
          <w:rFonts w:ascii="仿宋_GB2312" w:hAnsi="仿宋_GB2312" w:eastAsia="仿宋_GB2312" w:cs="仿宋_GB2312"/>
          <w:spacing w:val="-4"/>
          <w:sz w:val="32"/>
          <w:szCs w:val="32"/>
          <w:lang w:eastAsia="zh-CN"/>
        </w:rPr>
        <w:t>，</w:t>
      </w:r>
      <w:r>
        <w:rPr>
          <w:rFonts w:ascii="仿宋_GB2312" w:hAnsi="仿宋_GB2312" w:eastAsia="仿宋_GB2312" w:cs="仿宋_GB2312"/>
          <w:color w:val="000000"/>
          <w:kern w:val="0"/>
          <w:sz w:val="31"/>
          <w:szCs w:val="31"/>
          <w:lang w:val="en-US" w:eastAsia="zh-CN" w:bidi="ar"/>
        </w:rPr>
        <w:t xml:space="preserve">截至 </w:t>
      </w:r>
      <w:r>
        <w:rPr>
          <w:rFonts w:ascii="Times New Roman" w:hAnsi="Times New Roman" w:eastAsia="宋体" w:cs="Times New Roman"/>
          <w:color w:val="000000"/>
          <w:kern w:val="0"/>
          <w:sz w:val="31"/>
          <w:szCs w:val="31"/>
          <w:lang w:val="en-US" w:eastAsia="zh-CN" w:bidi="ar"/>
        </w:rPr>
        <w:t xml:space="preserve">12 </w:t>
      </w:r>
      <w:r>
        <w:rPr>
          <w:rFonts w:ascii="仿宋_GB2312" w:hAnsi="仿宋_GB2312" w:eastAsia="仿宋_GB2312" w:cs="仿宋_GB2312"/>
          <w:color w:val="000000"/>
          <w:kern w:val="0"/>
          <w:sz w:val="31"/>
          <w:szCs w:val="31"/>
          <w:lang w:val="en-US" w:eastAsia="zh-CN" w:bidi="ar"/>
        </w:rPr>
        <w:t xml:space="preserve">月底，已全部排查完毕，完成率 </w:t>
      </w:r>
      <w:r>
        <w:rPr>
          <w:rFonts w:ascii="Times New Roman" w:hAnsi="Times New Roman" w:eastAsia="宋体" w:cs="Times New Roman"/>
          <w:color w:val="000000"/>
          <w:kern w:val="0"/>
          <w:sz w:val="31"/>
          <w:szCs w:val="31"/>
          <w:lang w:val="en-US" w:eastAsia="zh-CN" w:bidi="ar"/>
        </w:rPr>
        <w:t>100%</w:t>
      </w:r>
      <w:r>
        <w:rPr>
          <w:rFonts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b w:val="0"/>
          <w:i w:val="0"/>
          <w:caps w:val="0"/>
          <w:smallCaps w:val="0"/>
          <w:color w:val="000000"/>
          <w:spacing w:val="0"/>
          <w:kern w:val="0"/>
          <w:sz w:val="32"/>
          <w:szCs w:val="32"/>
          <w:shd w:val="clear" w:fill="FFFFFF"/>
          <w:lang w:val="en-US" w:eastAsia="zh-CN" w:bidi="ar"/>
        </w:rPr>
        <w:t>隐患排查治理既是开展安全生产工作的重要抓手，也是保证人民生产生活安全的有效手段。</w:t>
      </w:r>
      <w:r>
        <w:rPr>
          <w:rFonts w:ascii="仿宋_GB2312" w:hAnsi="仿宋_GB2312" w:eastAsia="仿宋_GB2312" w:cs="仿宋_GB2312"/>
          <w:i w:val="0"/>
          <w:caps w:val="0"/>
          <w:smallCaps w:val="0"/>
          <w:color w:val="000000"/>
          <w:spacing w:val="0"/>
          <w:kern w:val="0"/>
          <w:sz w:val="32"/>
          <w:szCs w:val="32"/>
          <w:shd w:val="clear" w:fill="FFFFFF"/>
          <w:lang w:val="en-US" w:eastAsia="zh-CN" w:bidi="ar"/>
        </w:rPr>
        <w:t>在一定程度上稳控了我市金属非金属矿山安全生产风险。</w:t>
      </w:r>
      <w:r>
        <w:rPr>
          <w:rFonts w:ascii="仿宋" w:hAnsi="仿宋" w:eastAsia="仿宋" w:cs="仿宋"/>
          <w:b w:val="0"/>
          <w:bCs/>
          <w:sz w:val="32"/>
          <w:szCs w:val="32"/>
          <w:lang w:val="en-US" w:eastAsia="zh-CN"/>
        </w:rPr>
        <w:t>存在的问题主要是预算不准确，导致出现剩余资金。隐患排查计划排查企业由于企业停产、环境整治、证照到期等原因不能按计划实施，出现计划数多于实际排查数，出现资金剩余。</w:t>
      </w:r>
      <w:r>
        <w:rPr>
          <w:rFonts w:ascii="仿宋" w:hAnsi="仿宋" w:eastAsia="仿宋" w:cs="仿宋"/>
          <w:b w:val="0"/>
          <w:bCs w:val="0"/>
          <w:sz w:val="32"/>
          <w:szCs w:val="32"/>
          <w:lang w:val="en-US" w:eastAsia="zh-CN"/>
        </w:rPr>
        <w:t>下一步改进措施，一是</w:t>
      </w:r>
      <w:r>
        <w:rPr>
          <w:rFonts w:ascii="仿宋_GB2312" w:hAnsi="仿宋_GB2312" w:eastAsia="仿宋_GB2312" w:cs="仿宋_GB2312"/>
          <w:b w:val="0"/>
          <w:bCs/>
          <w:i w:val="0"/>
          <w:caps w:val="0"/>
          <w:smallCaps w:val="0"/>
          <w:color w:val="000000"/>
          <w:spacing w:val="0"/>
          <w:kern w:val="0"/>
          <w:sz w:val="32"/>
          <w:szCs w:val="32"/>
          <w:shd w:val="clear" w:fill="FFFFFF"/>
          <w:lang w:val="en-US" w:eastAsia="zh-CN" w:bidi="ar"/>
        </w:rPr>
        <w:t>加强资金使用管理。</w:t>
      </w:r>
      <w:r>
        <w:rPr>
          <w:rFonts w:ascii="仿宋_GB2312" w:hAnsi="仿宋_GB2312" w:eastAsia="仿宋_GB2312" w:cs="仿宋_GB2312"/>
          <w:i w:val="0"/>
          <w:caps w:val="0"/>
          <w:smallCaps w:val="0"/>
          <w:color w:val="000000"/>
          <w:spacing w:val="0"/>
          <w:kern w:val="0"/>
          <w:sz w:val="32"/>
          <w:szCs w:val="32"/>
          <w:shd w:val="clear" w:fill="FFFFFF"/>
          <w:lang w:val="en-US" w:eastAsia="zh-CN" w:bidi="ar"/>
        </w:rPr>
        <w:t>进一步规范专项资金的支出审批和使用,严格按项目申报表控制资金支出范围、用途,杜绝变相挤占、挪用。二是</w:t>
      </w:r>
      <w:r>
        <w:rPr>
          <w:rFonts w:ascii="仿宋" w:hAnsi="仿宋" w:eastAsia="仿宋" w:cs="仿宋"/>
          <w:b w:val="0"/>
          <w:bCs/>
          <w:i w:val="0"/>
          <w:caps w:val="0"/>
          <w:smallCaps w:val="0"/>
          <w:color w:val="000000"/>
          <w:spacing w:val="0"/>
          <w:kern w:val="0"/>
          <w:sz w:val="32"/>
          <w:szCs w:val="32"/>
          <w:shd w:val="clear" w:fill="FFFFFF"/>
          <w:lang w:val="en-US" w:eastAsia="zh-CN" w:bidi="ar"/>
        </w:rPr>
        <w:t>推进开展绩效评价。</w:t>
      </w:r>
      <w:r>
        <w:rPr>
          <w:rFonts w:ascii="仿宋_GB2312" w:hAnsi="仿宋_GB2312" w:eastAsia="仿宋_GB2312" w:cs="仿宋_GB2312"/>
          <w:b w:val="0"/>
          <w:i w:val="0"/>
          <w:caps w:val="0"/>
          <w:smallCaps w:val="0"/>
          <w:color w:val="000000"/>
          <w:spacing w:val="0"/>
          <w:kern w:val="0"/>
          <w:sz w:val="32"/>
          <w:szCs w:val="32"/>
          <w:shd w:val="clear" w:fill="FFFFFF"/>
          <w:lang w:val="en-US" w:eastAsia="zh-CN" w:bidi="ar"/>
        </w:rPr>
        <w:t>通过委托第三方或自行组织对项目资金使用情况开展绩效评价，推进绩效评价工作常态化，让“花钱必问效，无效必问责”的观念深入人心。</w:t>
      </w:r>
    </w:p>
    <w:p>
      <w:pPr>
        <w:pStyle w:val="6"/>
        <w:keepNext w:val="0"/>
        <w:keepLines w:val="0"/>
        <w:widowControl/>
        <w:ind w:firstLine="620"/>
        <w:jc w:val="left"/>
        <w:rPr>
          <w:rFonts w:ascii="Times New Roman" w:hAnsi="Times New Roman" w:eastAsia="黑体" w:cs="Times New Roman"/>
          <w:sz w:val="32"/>
          <w:szCs w:val="32"/>
        </w:rPr>
      </w:pPr>
      <w:r>
        <w:rPr>
          <w:rFonts w:ascii="Times New Roman" w:hAnsi="Times New Roman" w:eastAsia="宋体" w:cs="Times New Roman"/>
          <w:color w:val="000000"/>
          <w:kern w:val="0"/>
          <w:sz w:val="31"/>
          <w:szCs w:val="31"/>
          <w:lang w:val="en-US" w:eastAsia="zh-CN" w:bidi="ar"/>
        </w:rPr>
        <w:t>（2）</w:t>
      </w:r>
      <w:r>
        <w:rPr>
          <w:rFonts w:ascii="仿宋" w:hAnsi="仿宋" w:eastAsia="仿宋" w:cs="仿宋"/>
          <w:color w:val="000000"/>
          <w:kern w:val="0"/>
          <w:sz w:val="32"/>
          <w:szCs w:val="32"/>
          <w:lang w:val="en-US" w:eastAsia="zh-CN" w:bidi="ar"/>
        </w:rPr>
        <w:t>自然灾害救助专项经费自评综述</w:t>
      </w:r>
      <w:r>
        <w:rPr>
          <w:rFonts w:ascii="宋体" w:hAnsi="宋体" w:eastAsia="宋体" w:cs="宋体"/>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根据年初设定的绩效目标，自然灾害救助专项经费项目绩效自评得分为 </w:t>
      </w:r>
      <w:r>
        <w:rPr>
          <w:rFonts w:ascii="Times New Roman" w:hAnsi="Times New Roman" w:eastAsia="宋体" w:cs="Times New Roman"/>
          <w:color w:val="000000"/>
          <w:kern w:val="0"/>
          <w:sz w:val="31"/>
          <w:szCs w:val="31"/>
          <w:lang w:val="en-US" w:eastAsia="zh-CN" w:bidi="ar"/>
        </w:rPr>
        <w:t xml:space="preserve">97 </w:t>
      </w:r>
      <w:r>
        <w:rPr>
          <w:rFonts w:ascii="仿宋_GB2312" w:hAnsi="仿宋_GB2312" w:eastAsia="仿宋_GB2312" w:cs="仿宋_GB2312"/>
          <w:color w:val="000000"/>
          <w:kern w:val="0"/>
          <w:sz w:val="31"/>
          <w:szCs w:val="31"/>
          <w:lang w:val="en-US" w:eastAsia="zh-CN" w:bidi="ar"/>
        </w:rPr>
        <w:t>分（绩效自评表附后）</w:t>
      </w:r>
      <w:r>
        <w:rPr>
          <w:rFonts w:ascii="宋体" w:hAnsi="宋体" w:eastAsia="宋体" w:cs="宋体"/>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全年预算数为100</w:t>
      </w:r>
      <w:r>
        <w:rPr>
          <w:rFonts w:ascii="Times New Roman" w:hAnsi="Times New Roman" w:eastAsia="宋体" w:cs="Times New Roman"/>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 xml:space="preserve">万元，执行数为 </w:t>
      </w:r>
      <w:r>
        <w:rPr>
          <w:rFonts w:ascii="Times New Roman" w:hAnsi="Times New Roman" w:eastAsia="宋体" w:cs="Times New Roman"/>
          <w:color w:val="000000"/>
          <w:kern w:val="0"/>
          <w:sz w:val="31"/>
          <w:szCs w:val="31"/>
          <w:lang w:val="en-US" w:eastAsia="zh-CN" w:bidi="ar"/>
        </w:rPr>
        <w:t>70</w:t>
      </w:r>
      <w:r>
        <w:rPr>
          <w:rFonts w:ascii="仿宋_GB2312" w:hAnsi="仿宋_GB2312" w:eastAsia="仿宋_GB2312" w:cs="仿宋_GB2312"/>
          <w:color w:val="000000"/>
          <w:kern w:val="0"/>
          <w:sz w:val="31"/>
          <w:szCs w:val="31"/>
          <w:lang w:val="en-US" w:eastAsia="zh-CN" w:bidi="ar"/>
        </w:rPr>
        <w:t>万元，完成预算的</w:t>
      </w:r>
      <w:r>
        <w:rPr>
          <w:rFonts w:ascii="Times New Roman" w:hAnsi="Times New Roman" w:eastAsia="宋体" w:cs="Times New Roman"/>
          <w:color w:val="000000"/>
          <w:kern w:val="0"/>
          <w:sz w:val="31"/>
          <w:szCs w:val="31"/>
          <w:lang w:val="en-US" w:eastAsia="zh-CN" w:bidi="ar"/>
        </w:rPr>
        <w:t>70%</w:t>
      </w:r>
      <w:r>
        <w:rPr>
          <w:rFonts w:ascii="仿宋_GB2312" w:hAnsi="仿宋_GB2312" w:eastAsia="仿宋_GB2312" w:cs="仿宋_GB2312"/>
          <w:color w:val="000000"/>
          <w:kern w:val="0"/>
          <w:sz w:val="31"/>
          <w:szCs w:val="31"/>
          <w:lang w:val="en-US" w:eastAsia="zh-CN" w:bidi="ar"/>
        </w:rPr>
        <w:t>。项目绩效目标完成情况：2019年自然灾害救助专项经费目的是解决受灾群众因灾造成的吃、穿、住、医等基本生活困难，是各级政府开展救灾工作的中心任务，设立自然灾害救助专项项目，可有效开展灾民基本生活救助，保障全市受灾群众衣、食、住、医等基本生活需求。</w:t>
      </w:r>
      <w:r>
        <w:rPr>
          <w:rFonts w:ascii="Times New Roman" w:hAnsi="Times New Roman" w:eastAsia="宋体" w:cs="Times New Roman"/>
          <w:color w:val="000000"/>
          <w:kern w:val="0"/>
          <w:sz w:val="31"/>
          <w:szCs w:val="31"/>
          <w:lang w:val="en-US" w:eastAsia="zh-CN" w:bidi="ar"/>
        </w:rPr>
        <w:t xml:space="preserve">2019 </w:t>
      </w:r>
      <w:r>
        <w:rPr>
          <w:rFonts w:ascii="仿宋_GB2312" w:hAnsi="仿宋_GB2312" w:eastAsia="仿宋_GB2312" w:cs="仿宋_GB2312"/>
          <w:color w:val="000000"/>
          <w:kern w:val="0"/>
          <w:sz w:val="31"/>
          <w:szCs w:val="31"/>
          <w:lang w:val="en-US" w:eastAsia="zh-CN" w:bidi="ar"/>
        </w:rPr>
        <w:t xml:space="preserve">年度全市共计救助受灾人员 </w:t>
      </w:r>
      <w:r>
        <w:rPr>
          <w:rFonts w:ascii="Times New Roman" w:hAnsi="Times New Roman" w:eastAsia="宋体" w:cs="Times New Roman"/>
          <w:color w:val="000000"/>
          <w:kern w:val="0"/>
          <w:sz w:val="31"/>
          <w:szCs w:val="31"/>
          <w:lang w:val="en-US" w:eastAsia="zh-CN" w:bidi="ar"/>
        </w:rPr>
        <w:t>18.18</w:t>
      </w:r>
      <w:r>
        <w:rPr>
          <w:rFonts w:ascii="仿宋_GB2312" w:hAnsi="仿宋_GB2312" w:eastAsia="仿宋_GB2312" w:cs="仿宋_GB2312"/>
          <w:color w:val="000000"/>
          <w:kern w:val="0"/>
          <w:sz w:val="31"/>
          <w:szCs w:val="31"/>
          <w:lang w:val="en-US" w:eastAsia="zh-CN" w:bidi="ar"/>
        </w:rPr>
        <w:t xml:space="preserve">万人次、救助对象满意度为 </w:t>
      </w:r>
      <w:r>
        <w:rPr>
          <w:rFonts w:ascii="Times New Roman" w:hAnsi="Times New Roman" w:eastAsia="宋体" w:cs="Times New Roman"/>
          <w:color w:val="000000"/>
          <w:kern w:val="0"/>
          <w:sz w:val="31"/>
          <w:szCs w:val="31"/>
          <w:lang w:val="en-US" w:eastAsia="zh-CN" w:bidi="ar"/>
        </w:rPr>
        <w:t>98%</w:t>
      </w:r>
      <w:r>
        <w:rPr>
          <w:rFonts w:ascii="宋体" w:hAnsi="宋体" w:eastAsia="宋体" w:cs="宋体"/>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圆满完成年初目标。</w:t>
      </w:r>
    </w:p>
    <w:p>
      <w:pPr>
        <w:pStyle w:val="6"/>
        <w:keepNext/>
        <w:keepLines/>
        <w:numPr>
          <w:ilvl w:val="0"/>
          <w:numId w:val="0"/>
        </w:numPr>
        <w:snapToGrid w:val="0"/>
        <w:spacing w:line="580" w:lineRule="exact"/>
        <w:ind w:firstLine="640"/>
        <w:outlineLvl w:val="1"/>
        <w:rPr>
          <w:rFonts w:ascii="黑体" w:hAnsi="黑体" w:eastAsia="黑体" w:cs="Times New Roman"/>
          <w:sz w:val="32"/>
          <w:szCs w:val="32"/>
        </w:rPr>
      </w:pPr>
      <w:r>
        <w:rPr>
          <w:rFonts w:ascii="黑体" w:hAnsi="黑体" w:eastAsia="黑体" w:cs="Times New Roman"/>
          <w:sz w:val="32"/>
          <w:szCs w:val="32"/>
        </w:rPr>
        <w:t>七、其他重要事项的说明</w:t>
      </w:r>
    </w:p>
    <w:p>
      <w:pPr>
        <w:pStyle w:val="6"/>
        <w:keepNext/>
        <w:keepLines/>
        <w:numPr>
          <w:ilvl w:val="0"/>
          <w:numId w:val="0"/>
        </w:numPr>
        <w:snapToGrid w:val="0"/>
        <w:spacing w:line="580" w:lineRule="exact"/>
        <w:ind w:firstLine="643"/>
        <w:outlineLvl w:val="2"/>
        <w:rPr>
          <w:rFonts w:ascii="楷体_GB2312" w:hAnsi="楷体_GB2312" w:eastAsia="楷体_GB2312" w:cs="DengXian-Bold"/>
          <w:b/>
          <w:bCs/>
          <w:sz w:val="32"/>
          <w:szCs w:val="32"/>
        </w:rPr>
      </w:pPr>
      <w:r>
        <w:rPr>
          <w:rFonts w:ascii="楷体_GB2312" w:hAnsi="楷体_GB2312" w:eastAsia="楷体_GB2312" w:cs="DengXian-Bold"/>
          <w:b/>
          <w:bCs/>
          <w:sz w:val="32"/>
          <w:szCs w:val="32"/>
        </w:rPr>
        <w:t>（一）机关运行经费情况</w:t>
      </w:r>
    </w:p>
    <w:p>
      <w:pPr>
        <w:pStyle w:val="6"/>
        <w:snapToGrid w:val="0"/>
        <w:spacing w:line="580" w:lineRule="exact"/>
        <w:ind w:firstLine="640"/>
        <w:rPr>
          <w:rFonts w:ascii="仿宋_GB2312" w:hAnsi="仿宋_GB2312" w:eastAsia="仿宋_GB2312" w:cs="DengXian-Regular"/>
          <w:sz w:val="32"/>
          <w:szCs w:val="32"/>
        </w:rPr>
      </w:pPr>
      <w:r>
        <w:rPr>
          <w:rFonts w:ascii="仿宋_GB2312" w:hAnsi="仿宋_GB2312" w:eastAsia="仿宋_GB2312" w:cs="DengXian-Regular"/>
          <w:sz w:val="32"/>
          <w:szCs w:val="32"/>
        </w:rPr>
        <w:t>本部门2019年度机关运行经费支出</w:t>
      </w:r>
      <w:r>
        <w:rPr>
          <w:rFonts w:ascii="仿宋_GB2312" w:hAnsi="仿宋_GB2312" w:eastAsia="仿宋_GB2312" w:cs="DengXian-Regular"/>
          <w:sz w:val="32"/>
          <w:szCs w:val="32"/>
          <w:lang w:val="en-US" w:eastAsia="zh-CN"/>
        </w:rPr>
        <w:t>160.63</w:t>
      </w:r>
      <w:r>
        <w:rPr>
          <w:rFonts w:ascii="仿宋_GB2312" w:hAnsi="仿宋_GB2312" w:eastAsia="仿宋_GB2312" w:cs="DengXian-Regular"/>
          <w:sz w:val="32"/>
          <w:szCs w:val="32"/>
        </w:rPr>
        <w:t>万元，</w:t>
      </w:r>
      <w:r>
        <w:rPr>
          <w:rFonts w:ascii="仿宋_GB2312" w:hAnsi="仿宋_GB2312" w:eastAsia="仿宋_GB2312" w:cs="DengXian-Regular"/>
          <w:sz w:val="32"/>
          <w:szCs w:val="32"/>
          <w:lang w:eastAsia="zh-CN"/>
        </w:rPr>
        <w:t>与年初预算持平；</w:t>
      </w:r>
      <w:r>
        <w:rPr>
          <w:rFonts w:ascii="仿宋_GB2312" w:hAnsi="仿宋_GB2312" w:eastAsia="仿宋_GB2312" w:cs="DengXian-Regular"/>
          <w:sz w:val="32"/>
          <w:szCs w:val="32"/>
        </w:rPr>
        <w:t>比2018年度增加</w:t>
      </w:r>
      <w:r>
        <w:rPr>
          <w:rFonts w:ascii="仿宋_GB2312" w:hAnsi="仿宋_GB2312" w:eastAsia="仿宋_GB2312" w:cs="DengXian-Regular"/>
          <w:sz w:val="32"/>
          <w:szCs w:val="32"/>
          <w:lang w:val="en-US" w:eastAsia="zh-CN"/>
        </w:rPr>
        <w:t>2.35</w:t>
      </w:r>
      <w:r>
        <w:rPr>
          <w:rFonts w:ascii="仿宋_GB2312" w:hAnsi="仿宋_GB2312" w:eastAsia="仿宋_GB2312" w:cs="DengXian-Regular"/>
          <w:sz w:val="32"/>
          <w:szCs w:val="32"/>
        </w:rPr>
        <w:t>万元，增长</w:t>
      </w:r>
      <w:r>
        <w:rPr>
          <w:rFonts w:ascii="仿宋_GB2312" w:hAnsi="仿宋_GB2312" w:eastAsia="仿宋_GB2312" w:cs="DengXian-Regular"/>
          <w:sz w:val="32"/>
          <w:szCs w:val="32"/>
          <w:lang w:val="en-US" w:eastAsia="zh-CN"/>
        </w:rPr>
        <w:t>1.5</w:t>
      </w:r>
      <w:r>
        <w:rPr>
          <w:rFonts w:ascii="仿宋_GB2312" w:hAnsi="仿宋_GB2312" w:eastAsia="仿宋_GB2312" w:cs="DengXian-Regular"/>
          <w:sz w:val="32"/>
          <w:szCs w:val="32"/>
        </w:rPr>
        <w:t>%。主要原因是</w:t>
      </w:r>
      <w:r>
        <w:rPr>
          <w:rFonts w:ascii="仿宋_GB2312" w:hAnsi="仿宋_GB2312" w:eastAsia="仿宋_GB2312" w:cs="DengXian-Regular"/>
          <w:sz w:val="32"/>
          <w:szCs w:val="32"/>
          <w:lang w:val="en-US" w:eastAsia="zh-CN"/>
        </w:rPr>
        <w:t>2019年机构改革，人员增加，随之增加机关运行经费</w:t>
      </w:r>
      <w:r>
        <w:rPr>
          <w:rFonts w:ascii="仿宋_GB2312" w:hAnsi="仿宋_GB2312" w:eastAsia="仿宋_GB2312" w:cs="DengXian-Regular"/>
          <w:sz w:val="32"/>
          <w:szCs w:val="32"/>
        </w:rPr>
        <w:t>。</w:t>
      </w:r>
    </w:p>
    <w:p>
      <w:pPr>
        <w:pStyle w:val="6"/>
        <w:keepNext/>
        <w:keepLines/>
        <w:numPr>
          <w:ilvl w:val="0"/>
          <w:numId w:val="0"/>
        </w:numPr>
        <w:snapToGrid w:val="0"/>
        <w:spacing w:line="580" w:lineRule="exact"/>
        <w:ind w:firstLine="643"/>
        <w:outlineLvl w:val="2"/>
        <w:rPr>
          <w:rFonts w:ascii="楷体_GB2312" w:hAnsi="楷体_GB2312" w:eastAsia="楷体_GB2312" w:cs="DengXian-Bold"/>
          <w:b/>
          <w:bCs/>
          <w:sz w:val="32"/>
          <w:szCs w:val="32"/>
        </w:rPr>
      </w:pPr>
      <w:r>
        <w:rPr>
          <w:rFonts w:ascii="楷体_GB2312" w:hAnsi="楷体_GB2312" w:eastAsia="楷体_GB2312" w:cs="DengXian-Bold"/>
          <w:b/>
          <w:bCs/>
          <w:sz w:val="32"/>
          <w:szCs w:val="32"/>
        </w:rPr>
        <w:t>（二）政府采购情况</w:t>
      </w:r>
    </w:p>
    <w:p>
      <w:pPr>
        <w:pStyle w:val="6"/>
        <w:snapToGrid w:val="0"/>
        <w:spacing w:line="580" w:lineRule="exact"/>
        <w:ind w:firstLine="640"/>
        <w:jc w:val="left"/>
        <w:rPr>
          <w:rFonts w:hint="eastAsia" w:ascii="仿宋_GB2312" w:hAnsi="仿宋_GB2312" w:eastAsia="仿宋_GB2312" w:cs="DengXian-Regular"/>
          <w:sz w:val="32"/>
          <w:szCs w:val="32"/>
          <w:lang w:eastAsia="zh-CN"/>
        </w:rPr>
      </w:pPr>
      <w:r>
        <w:rPr>
          <w:rFonts w:ascii="仿宋_GB2312" w:hAnsi="仿宋_GB2312" w:eastAsia="仿宋_GB2312" w:cs="DengXian-Regular"/>
          <w:sz w:val="32"/>
          <w:szCs w:val="32"/>
        </w:rPr>
        <w:t>本部门2019年度政府采购支出总额</w:t>
      </w:r>
      <w:r>
        <w:rPr>
          <w:rFonts w:ascii="仿宋_GB2312" w:hAnsi="仿宋_GB2312" w:eastAsia="仿宋_GB2312" w:cs="DengXian-Regular"/>
          <w:sz w:val="32"/>
          <w:szCs w:val="32"/>
          <w:lang w:val="en-US" w:eastAsia="zh-CN"/>
        </w:rPr>
        <w:t>133</w:t>
      </w:r>
      <w:r>
        <w:rPr>
          <w:rFonts w:ascii="仿宋_GB2312" w:hAnsi="仿宋_GB2312" w:eastAsia="仿宋_GB2312" w:cs="DengXian-Regular"/>
          <w:sz w:val="32"/>
          <w:szCs w:val="32"/>
        </w:rPr>
        <w:t>万元，从采购类型来看，</w:t>
      </w:r>
      <w:r>
        <w:rPr>
          <w:rFonts w:ascii="仿宋_GB2312" w:hAnsi="仿宋_GB2312" w:eastAsia="仿宋_GB2312" w:cs="仿宋_GB2312"/>
          <w:color w:val="000000"/>
          <w:kern w:val="0"/>
          <w:sz w:val="32"/>
          <w:szCs w:val="32"/>
        </w:rPr>
        <w:t xml:space="preserve">政府采购服务支出 </w:t>
      </w:r>
      <w:r>
        <w:rPr>
          <w:rFonts w:ascii="仿宋_GB2312" w:hAnsi="仿宋_GB2312" w:eastAsia="仿宋_GB2312" w:cs="仿宋_GB2312"/>
          <w:color w:val="000000"/>
          <w:kern w:val="0"/>
          <w:sz w:val="32"/>
          <w:szCs w:val="32"/>
          <w:lang w:val="en-US" w:eastAsia="zh-CN"/>
        </w:rPr>
        <w:t>133</w:t>
      </w:r>
      <w:r>
        <w:rPr>
          <w:rFonts w:ascii="仿宋_GB2312" w:hAnsi="仿宋_GB2312" w:eastAsia="仿宋_GB2312" w:cs="仿宋_GB2312"/>
          <w:color w:val="000000"/>
          <w:kern w:val="0"/>
          <w:sz w:val="32"/>
          <w:szCs w:val="32"/>
        </w:rPr>
        <w:t>万元。授予中小</w:t>
      </w:r>
      <w:r>
        <w:rPr>
          <w:rFonts w:ascii="仿宋_GB2312" w:hAnsi="仿宋_GB2312" w:eastAsia="仿宋_GB2312" w:cs="仿宋_GB2312"/>
          <w:color w:val="000000"/>
          <w:kern w:val="0"/>
          <w:sz w:val="32"/>
          <w:szCs w:val="32"/>
          <w:lang w:eastAsia="zh-CN"/>
        </w:rPr>
        <w:t>企业</w:t>
      </w:r>
      <w:r>
        <w:rPr>
          <w:rFonts w:ascii="仿宋_GB2312" w:hAnsi="仿宋_GB2312" w:eastAsia="仿宋_GB2312" w:cs="仿宋_GB2312"/>
          <w:color w:val="000000"/>
          <w:kern w:val="0"/>
          <w:sz w:val="32"/>
          <w:szCs w:val="32"/>
        </w:rPr>
        <w:t>合同金</w:t>
      </w:r>
      <w:r>
        <w:rPr>
          <w:rFonts w:ascii="仿宋_GB2312" w:hAnsi="仿宋_GB2312" w:eastAsia="仿宋_GB2312" w:cs="仿宋_GB2312"/>
          <w:color w:val="000000"/>
          <w:kern w:val="0"/>
          <w:sz w:val="32"/>
          <w:szCs w:val="32"/>
          <w:lang w:eastAsia="zh-CN"/>
        </w:rPr>
        <w:t>额</w:t>
      </w:r>
      <w:r>
        <w:rPr>
          <w:rFonts w:hint="eastAsia" w:ascii="仿宋_GB2312" w:hAnsi="仿宋_GB2312" w:eastAsia="仿宋_GB2312" w:cs="仿宋_GB2312"/>
          <w:color w:val="000000"/>
          <w:kern w:val="0"/>
          <w:sz w:val="32"/>
          <w:szCs w:val="32"/>
          <w:lang w:val="en-US" w:eastAsia="zh-CN"/>
        </w:rPr>
        <w:t>133</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w:t>
      </w:r>
      <w:r>
        <w:rPr>
          <w:rFonts w:ascii="仿宋_GB2312" w:hAnsi="仿宋_GB2312" w:eastAsia="仿宋_GB2312" w:cs="仿宋_GB2312"/>
          <w:color w:val="000000"/>
          <w:kern w:val="0"/>
          <w:sz w:val="32"/>
          <w:szCs w:val="32"/>
        </w:rPr>
        <w:t>占政府采购支出总额的</w:t>
      </w:r>
      <w:r>
        <w:rPr>
          <w:rFonts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其中</w:t>
      </w:r>
      <w:r>
        <w:rPr>
          <w:rFonts w:ascii="仿宋_GB2312" w:hAnsi="仿宋_GB2312" w:eastAsia="仿宋_GB2312" w:cs="仿宋_GB2312"/>
          <w:color w:val="000000"/>
          <w:kern w:val="0"/>
          <w:sz w:val="32"/>
          <w:szCs w:val="32"/>
        </w:rPr>
        <w:t>授予</w:t>
      </w:r>
      <w:r>
        <w:rPr>
          <w:rFonts w:ascii="仿宋_GB2312" w:hAnsi="仿宋_GB2312" w:eastAsia="仿宋_GB2312" w:cs="仿宋_GB2312"/>
          <w:color w:val="000000"/>
          <w:kern w:val="0"/>
          <w:sz w:val="32"/>
          <w:szCs w:val="32"/>
          <w:lang w:eastAsia="zh-CN"/>
        </w:rPr>
        <w:t>小微企业</w:t>
      </w:r>
      <w:r>
        <w:rPr>
          <w:rFonts w:ascii="仿宋_GB2312" w:hAnsi="仿宋_GB2312" w:eastAsia="仿宋_GB2312" w:cs="仿宋_GB2312"/>
          <w:color w:val="000000"/>
          <w:kern w:val="0"/>
          <w:sz w:val="32"/>
          <w:szCs w:val="32"/>
        </w:rPr>
        <w:t>合同金</w:t>
      </w:r>
      <w:r>
        <w:rPr>
          <w:rFonts w:ascii="仿宋_GB2312" w:hAnsi="仿宋_GB2312" w:eastAsia="仿宋_GB2312" w:cs="仿宋_GB2312"/>
          <w:color w:val="000000"/>
          <w:kern w:val="0"/>
          <w:sz w:val="32"/>
          <w:szCs w:val="32"/>
          <w:lang w:eastAsia="zh-CN"/>
        </w:rPr>
        <w:t>额</w:t>
      </w:r>
      <w:r>
        <w:rPr>
          <w:rFonts w:ascii="仿宋_GB2312" w:hAnsi="仿宋_GB2312" w:eastAsia="仿宋_GB2312" w:cs="仿宋_GB2312"/>
          <w:color w:val="000000"/>
          <w:kern w:val="0"/>
          <w:sz w:val="32"/>
          <w:szCs w:val="32"/>
          <w:lang w:val="en-US" w:eastAsia="zh-CN"/>
        </w:rPr>
        <w:t>133</w:t>
      </w:r>
      <w:r>
        <w:rPr>
          <w:rFonts w:ascii="仿宋_GB2312" w:hAnsi="仿宋_GB2312" w:eastAsia="仿宋_GB2312" w:cs="仿宋_GB2312"/>
          <w:color w:val="000000"/>
          <w:kern w:val="0"/>
          <w:sz w:val="32"/>
          <w:szCs w:val="32"/>
        </w:rPr>
        <w:t>万元，占政府采购支出总额的</w:t>
      </w:r>
      <w:r>
        <w:rPr>
          <w:rFonts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w:t>
      </w:r>
    </w:p>
    <w:p>
      <w:pPr>
        <w:pStyle w:val="6"/>
        <w:keepNext/>
        <w:keepLines/>
        <w:numPr>
          <w:ilvl w:val="0"/>
          <w:numId w:val="0"/>
        </w:numPr>
        <w:snapToGrid w:val="0"/>
        <w:spacing w:line="580" w:lineRule="exact"/>
        <w:ind w:firstLine="643"/>
        <w:outlineLvl w:val="2"/>
        <w:rPr>
          <w:rFonts w:ascii="楷体_GB2312" w:hAnsi="楷体_GB2312" w:eastAsia="楷体_GB2312" w:cs="DengXian-Bold"/>
          <w:b/>
          <w:bCs/>
          <w:sz w:val="32"/>
          <w:szCs w:val="32"/>
        </w:rPr>
      </w:pPr>
      <w:r>
        <w:rPr>
          <w:rFonts w:ascii="楷体_GB2312" w:hAnsi="楷体_GB2312" w:eastAsia="楷体_GB2312" w:cs="DengXian-Bold"/>
          <w:b/>
          <w:bCs/>
          <w:sz w:val="32"/>
          <w:szCs w:val="32"/>
        </w:rPr>
        <w:t>（三）国有资产占用情况</w:t>
      </w:r>
    </w:p>
    <w:p>
      <w:pPr>
        <w:pStyle w:val="6"/>
        <w:ind w:firstLine="640"/>
        <w:rPr>
          <w:rFonts w:ascii="仿宋_GB2312" w:hAnsi="仿宋_GB2312" w:eastAsia="仿宋_GB2312" w:cs="DengXian-Regular"/>
          <w:sz w:val="32"/>
          <w:szCs w:val="32"/>
        </w:rPr>
      </w:pPr>
      <w:r>
        <w:rPr>
          <w:rFonts w:ascii="仿宋_GB2312" w:hAnsi="仿宋_GB2312" w:eastAsia="仿宋_GB2312" w:cs="DengXian-Regular"/>
          <w:sz w:val="32"/>
          <w:szCs w:val="32"/>
        </w:rPr>
        <w:t>截至2019年12月31日，</w:t>
      </w:r>
      <w:r>
        <w:rPr>
          <w:rFonts w:ascii="仿宋_GB2312" w:hAnsi="仿宋_GB2312" w:eastAsia="仿宋_GB2312" w:cs="DengXian-Regular"/>
          <w:sz w:val="32"/>
          <w:szCs w:val="32"/>
          <w:lang w:eastAsia="zh-CN"/>
        </w:rPr>
        <w:t>本部门</w:t>
      </w:r>
      <w:r>
        <w:rPr>
          <w:rFonts w:ascii="仿宋" w:hAnsi="仿宋" w:eastAsia="仿宋" w:cs="仿宋"/>
          <w:sz w:val="32"/>
          <w:szCs w:val="32"/>
        </w:rPr>
        <w:t>固定资产27</w:t>
      </w:r>
      <w:r>
        <w:rPr>
          <w:rFonts w:ascii="仿宋" w:hAnsi="仿宋" w:eastAsia="仿宋" w:cs="仿宋"/>
          <w:sz w:val="32"/>
          <w:szCs w:val="32"/>
          <w:lang w:val="en-US" w:eastAsia="zh-CN"/>
        </w:rPr>
        <w:t>8</w:t>
      </w:r>
      <w:r>
        <w:rPr>
          <w:rFonts w:ascii="仿宋" w:hAnsi="仿宋" w:eastAsia="仿宋" w:cs="仿宋"/>
          <w:sz w:val="32"/>
          <w:szCs w:val="32"/>
        </w:rPr>
        <w:t>7</w:t>
      </w:r>
      <w:r>
        <w:rPr>
          <w:rFonts w:ascii="仿宋" w:hAnsi="仿宋" w:eastAsia="仿宋" w:cs="仿宋"/>
          <w:sz w:val="32"/>
          <w:szCs w:val="32"/>
          <w:lang w:val="en-US" w:eastAsia="zh-CN"/>
        </w:rPr>
        <w:t>.03</w:t>
      </w:r>
      <w:r>
        <w:rPr>
          <w:rFonts w:ascii="仿宋" w:hAnsi="仿宋" w:eastAsia="仿宋" w:cs="仿宋"/>
          <w:sz w:val="32"/>
          <w:szCs w:val="32"/>
        </w:rPr>
        <w:t>万，</w:t>
      </w:r>
      <w:r>
        <w:rPr>
          <w:rFonts w:ascii="仿宋_GB2312" w:hAnsi="仿宋_GB2312" w:eastAsia="仿宋_GB2312" w:cs="DengXian-Regular"/>
          <w:sz w:val="32"/>
          <w:szCs w:val="32"/>
        </w:rPr>
        <w:t>共有车辆</w:t>
      </w:r>
      <w:r>
        <w:rPr>
          <w:rFonts w:ascii="仿宋_GB2312" w:hAnsi="仿宋_GB2312" w:eastAsia="仿宋_GB2312" w:cs="DengXian-Regular"/>
          <w:sz w:val="32"/>
          <w:szCs w:val="32"/>
          <w:lang w:val="en-US" w:eastAsia="zh-CN"/>
        </w:rPr>
        <w:t>13</w:t>
      </w:r>
      <w:r>
        <w:rPr>
          <w:rFonts w:ascii="仿宋_GB2312" w:hAnsi="仿宋_GB2312" w:eastAsia="仿宋_GB2312" w:cs="DengXian-Regular"/>
          <w:sz w:val="32"/>
          <w:szCs w:val="32"/>
        </w:rPr>
        <w:t>辆，</w:t>
      </w:r>
      <w:r>
        <w:rPr>
          <w:rFonts w:ascii="仿宋_GB2312" w:hAnsi="仿宋_GB2312" w:eastAsia="仿宋_GB2312" w:cs="DengXian-Regular"/>
          <w:sz w:val="32"/>
          <w:szCs w:val="32"/>
          <w:lang w:eastAsia="zh-CN"/>
        </w:rPr>
        <w:t>与上年数持平</w:t>
      </w:r>
      <w:r>
        <w:rPr>
          <w:rFonts w:ascii="仿宋_GB2312" w:hAnsi="仿宋_GB2312" w:eastAsia="仿宋_GB2312" w:cs="DengXian-Regular"/>
          <w:sz w:val="32"/>
          <w:szCs w:val="32"/>
        </w:rPr>
        <w:t>。其中，</w:t>
      </w:r>
      <w:r>
        <w:rPr>
          <w:rFonts w:ascii="仿宋_GB2312" w:hAnsi="仿宋_GB2312" w:eastAsia="仿宋_GB2312" w:cs="DengXian-Regular"/>
          <w:sz w:val="32"/>
          <w:szCs w:val="32"/>
          <w:lang w:eastAsia="zh-CN"/>
        </w:rPr>
        <w:t>一般公务用车</w:t>
      </w:r>
      <w:r>
        <w:rPr>
          <w:rFonts w:ascii="仿宋_GB2312" w:hAnsi="仿宋_GB2312" w:eastAsia="仿宋_GB2312" w:cs="DengXian-Regular"/>
          <w:sz w:val="32"/>
          <w:szCs w:val="32"/>
          <w:lang w:val="en-US" w:eastAsia="zh-CN"/>
        </w:rPr>
        <w:t>4辆，</w:t>
      </w:r>
      <w:r>
        <w:rPr>
          <w:rFonts w:ascii="仿宋_GB2312" w:hAnsi="仿宋_GB2312" w:eastAsia="仿宋_GB2312" w:cs="DengXian-Regular"/>
          <w:sz w:val="32"/>
          <w:szCs w:val="32"/>
        </w:rPr>
        <w:t>机要通信用车</w:t>
      </w:r>
      <w:r>
        <w:rPr>
          <w:rFonts w:ascii="仿宋_GB2312" w:hAnsi="仿宋_GB2312" w:eastAsia="仿宋_GB2312" w:cs="DengXian-Regular"/>
          <w:sz w:val="32"/>
          <w:szCs w:val="32"/>
          <w:lang w:val="en-US" w:eastAsia="zh-CN"/>
        </w:rPr>
        <w:t>1</w:t>
      </w:r>
      <w:r>
        <w:rPr>
          <w:rFonts w:ascii="仿宋_GB2312" w:hAnsi="仿宋_GB2312" w:eastAsia="仿宋_GB2312" w:cs="DengXian-Regular"/>
          <w:sz w:val="32"/>
          <w:szCs w:val="32"/>
        </w:rPr>
        <w:t>辆，应急保障用车</w:t>
      </w:r>
      <w:r>
        <w:rPr>
          <w:rFonts w:ascii="仿宋_GB2312" w:hAnsi="仿宋_GB2312" w:eastAsia="仿宋_GB2312" w:cs="DengXian-Regular"/>
          <w:sz w:val="32"/>
          <w:szCs w:val="32"/>
          <w:lang w:val="en-US" w:eastAsia="zh-CN"/>
        </w:rPr>
        <w:t>1</w:t>
      </w:r>
      <w:r>
        <w:rPr>
          <w:rFonts w:ascii="仿宋_GB2312" w:hAnsi="仿宋_GB2312" w:eastAsia="仿宋_GB2312" w:cs="DengXian-Regular"/>
          <w:sz w:val="32"/>
          <w:szCs w:val="32"/>
        </w:rPr>
        <w:t>辆，执法执勤用车</w:t>
      </w:r>
      <w:r>
        <w:rPr>
          <w:rFonts w:ascii="仿宋_GB2312" w:hAnsi="仿宋_GB2312" w:eastAsia="仿宋_GB2312" w:cs="DengXian-Regular"/>
          <w:sz w:val="32"/>
          <w:szCs w:val="32"/>
          <w:lang w:val="en-US" w:eastAsia="zh-CN"/>
        </w:rPr>
        <w:t>7</w:t>
      </w:r>
      <w:r>
        <w:rPr>
          <w:rFonts w:ascii="仿宋_GB2312" w:hAnsi="仿宋_GB2312" w:eastAsia="仿宋_GB2312" w:cs="DengXian-Regular"/>
          <w:sz w:val="32"/>
          <w:szCs w:val="32"/>
        </w:rPr>
        <w:t>辆</w:t>
      </w:r>
      <w:r>
        <w:rPr>
          <w:rFonts w:ascii="仿宋_GB2312" w:hAnsi="仿宋_GB2312" w:eastAsia="仿宋_GB2312" w:cs="DengXian-Regular"/>
          <w:sz w:val="32"/>
          <w:szCs w:val="32"/>
          <w:lang w:eastAsia="zh-CN"/>
        </w:rPr>
        <w:t>。</w:t>
      </w:r>
    </w:p>
    <w:p>
      <w:pPr>
        <w:pStyle w:val="6"/>
        <w:snapToGrid w:val="0"/>
        <w:spacing w:line="580" w:lineRule="exact"/>
        <w:ind w:firstLine="640"/>
        <w:rPr>
          <w:rFonts w:ascii="仿宋_GB2312" w:hAnsi="仿宋_GB2312" w:eastAsia="仿宋_GB2312" w:cs="DengXian-Regular"/>
          <w:sz w:val="32"/>
          <w:szCs w:val="32"/>
          <w:lang w:eastAsia="zh-CN"/>
        </w:rPr>
      </w:pPr>
      <w:r>
        <w:rPr>
          <w:rFonts w:ascii="仿宋_GB2312" w:hAnsi="仿宋_GB2312" w:eastAsia="仿宋_GB2312" w:cs="DengXian-Regular"/>
          <w:sz w:val="32"/>
          <w:szCs w:val="32"/>
        </w:rPr>
        <w:t>单位价值</w:t>
      </w:r>
      <w:r>
        <w:rPr>
          <w:rFonts w:ascii="仿宋_GB2312" w:hAnsi="仿宋_GB2312" w:eastAsia="仿宋_GB2312" w:cs="TimesNewRomanPSMT"/>
          <w:sz w:val="32"/>
          <w:szCs w:val="32"/>
        </w:rPr>
        <w:t>50</w:t>
      </w:r>
      <w:r>
        <w:rPr>
          <w:rFonts w:ascii="仿宋_GB2312" w:hAnsi="仿宋_GB2312" w:eastAsia="仿宋_GB2312" w:cs="DengXian-Regular"/>
          <w:sz w:val="32"/>
          <w:szCs w:val="32"/>
        </w:rPr>
        <w:t>万元以上通用设备</w:t>
      </w:r>
      <w:r>
        <w:rPr>
          <w:rFonts w:ascii="仿宋_GB2312" w:hAnsi="仿宋_GB2312" w:eastAsia="仿宋_GB2312" w:cs="DengXian-Regular"/>
          <w:sz w:val="32"/>
          <w:szCs w:val="32"/>
          <w:lang w:val="en-US" w:eastAsia="zh-CN"/>
        </w:rPr>
        <w:t>1</w:t>
      </w:r>
      <w:r>
        <w:rPr>
          <w:rFonts w:ascii="仿宋_GB2312" w:hAnsi="仿宋_GB2312" w:eastAsia="仿宋_GB2312" w:cs="DengXian-Regular"/>
          <w:sz w:val="32"/>
          <w:szCs w:val="32"/>
        </w:rPr>
        <w:t>台，</w:t>
      </w:r>
      <w:r>
        <w:rPr>
          <w:rFonts w:ascii="仿宋_GB2312" w:hAnsi="仿宋_GB2312" w:eastAsia="仿宋_GB2312" w:cs="DengXian-Regular"/>
          <w:sz w:val="32"/>
          <w:szCs w:val="32"/>
          <w:lang w:eastAsia="zh-CN"/>
        </w:rPr>
        <w:t>与上年持平</w:t>
      </w:r>
      <w:r>
        <w:rPr>
          <w:rFonts w:ascii="仿宋_GB2312" w:hAnsi="仿宋_GB2312" w:eastAsia="仿宋_GB2312" w:cs="DengXian-Regular"/>
          <w:sz w:val="32"/>
          <w:szCs w:val="32"/>
        </w:rPr>
        <w:t>，单位价值</w:t>
      </w:r>
      <w:r>
        <w:rPr>
          <w:rFonts w:ascii="仿宋_GB2312" w:hAnsi="仿宋_GB2312" w:eastAsia="仿宋_GB2312" w:cs="TimesNewRomanPSMT"/>
          <w:sz w:val="32"/>
          <w:szCs w:val="32"/>
        </w:rPr>
        <w:t>100</w:t>
      </w:r>
      <w:r>
        <w:rPr>
          <w:rFonts w:ascii="仿宋_GB2312" w:hAnsi="仿宋_GB2312" w:eastAsia="仿宋_GB2312" w:cs="DengXian-Regular"/>
          <w:sz w:val="32"/>
          <w:szCs w:val="32"/>
        </w:rPr>
        <w:t>万元以上专用设备</w:t>
      </w:r>
      <w:r>
        <w:rPr>
          <w:rFonts w:ascii="仿宋_GB2312" w:hAnsi="仿宋_GB2312" w:eastAsia="仿宋_GB2312" w:cs="DengXian-Regular"/>
          <w:sz w:val="32"/>
          <w:szCs w:val="32"/>
          <w:lang w:val="en-US" w:eastAsia="zh-CN"/>
        </w:rPr>
        <w:t>1</w:t>
      </w:r>
      <w:r>
        <w:rPr>
          <w:rFonts w:ascii="仿宋_GB2312" w:hAnsi="仿宋_GB2312" w:eastAsia="仿宋_GB2312" w:cs="DengXian-Regular"/>
          <w:sz w:val="32"/>
          <w:szCs w:val="32"/>
        </w:rPr>
        <w:t>台</w:t>
      </w:r>
      <w:r>
        <w:rPr>
          <w:rFonts w:ascii="仿宋_GB2312" w:hAnsi="仿宋_GB2312" w:eastAsia="仿宋_GB2312" w:cs="DengXian-Regular"/>
          <w:sz w:val="32"/>
          <w:szCs w:val="32"/>
          <w:lang w:eastAsia="zh-CN"/>
        </w:rPr>
        <w:t>，与上年持平。</w:t>
      </w:r>
    </w:p>
    <w:p>
      <w:pPr>
        <w:pStyle w:val="6"/>
        <w:spacing w:line="580" w:lineRule="exact"/>
        <w:ind w:firstLine="640"/>
        <w:rPr>
          <w:rFonts w:ascii="仿宋_GB2312" w:hAnsi="仿宋_GB2312" w:eastAsia="仿宋_GB2312" w:cs="DengXian-Regular"/>
          <w:sz w:val="32"/>
          <w:szCs w:val="32"/>
          <w:lang w:val="en-US" w:eastAsia="zh-CN"/>
        </w:rPr>
      </w:pPr>
      <w:r>
        <w:rPr>
          <w:rFonts w:ascii="仿宋_GB2312" w:hAnsi="仿宋_GB2312" w:eastAsia="仿宋_GB2312" w:cs="仿宋_GB2312"/>
          <w:sz w:val="32"/>
          <w:szCs w:val="32"/>
        </w:rPr>
        <w:t>2018年底我单位国有资产2796.73万元。</w:t>
      </w:r>
      <w:r>
        <w:rPr>
          <w:rFonts w:ascii="仿宋_GB2312" w:hAnsi="仿宋_GB2312" w:eastAsia="仿宋_GB2312" w:cs="仿宋_GB2312"/>
          <w:sz w:val="32"/>
          <w:szCs w:val="32"/>
          <w:lang w:eastAsia="zh-CN"/>
        </w:rPr>
        <w:t>当年购置固定资产</w:t>
      </w:r>
      <w:r>
        <w:rPr>
          <w:rFonts w:ascii="仿宋_GB2312" w:hAnsi="仿宋_GB2312" w:eastAsia="仿宋_GB2312" w:cs="仿宋_GB2312"/>
          <w:sz w:val="32"/>
          <w:szCs w:val="32"/>
          <w:lang w:val="en-US" w:eastAsia="zh-CN"/>
        </w:rPr>
        <w:t>4.46万元，处置固定资产14.16万元。</w:t>
      </w:r>
    </w:p>
    <w:p>
      <w:pPr>
        <w:pStyle w:val="6"/>
        <w:keepNext/>
        <w:keepLines/>
        <w:numPr>
          <w:ilvl w:val="0"/>
          <w:numId w:val="0"/>
        </w:numPr>
        <w:snapToGrid w:val="0"/>
        <w:spacing w:line="580" w:lineRule="exact"/>
        <w:ind w:firstLine="643"/>
        <w:outlineLvl w:val="2"/>
        <w:rPr>
          <w:rFonts w:ascii="楷体_GB2312" w:hAnsi="楷体_GB2312" w:eastAsia="楷体_GB2312" w:cs="DengXian-Bold"/>
          <w:b/>
          <w:bCs/>
          <w:sz w:val="32"/>
          <w:szCs w:val="32"/>
        </w:rPr>
      </w:pPr>
      <w:r>
        <w:rPr>
          <w:rFonts w:ascii="楷体_GB2312" w:hAnsi="楷体_GB2312" w:eastAsia="楷体_GB2312" w:cs="DengXian-Bold"/>
          <w:b/>
          <w:bCs/>
          <w:sz w:val="32"/>
          <w:szCs w:val="32"/>
        </w:rPr>
        <w:t>（四）其他需要说明的情况</w:t>
      </w:r>
    </w:p>
    <w:p>
      <w:pPr>
        <w:pStyle w:val="6"/>
        <w:snapToGrid w:val="0"/>
        <w:spacing w:line="580" w:lineRule="exact"/>
        <w:ind w:firstLine="640"/>
        <w:rPr>
          <w:rFonts w:ascii="仿宋_GB2312" w:hAnsi="仿宋_GB2312" w:eastAsia="仿宋_GB2312" w:cs="DengXian-Regular"/>
          <w:sz w:val="32"/>
          <w:szCs w:val="32"/>
        </w:rPr>
      </w:pPr>
      <w:r>
        <w:rPr>
          <w:rFonts w:ascii="仿宋_GB2312" w:hAnsi="仿宋_GB2312" w:eastAsia="仿宋_GB2312" w:cs="DengXian-Regular"/>
          <w:sz w:val="32"/>
          <w:szCs w:val="32"/>
          <w:lang w:val="en-US" w:eastAsia="zh-CN"/>
        </w:rPr>
        <w:t>1、</w:t>
      </w:r>
      <w:r>
        <w:rPr>
          <w:rFonts w:ascii="仿宋_GB2312" w:hAnsi="仿宋_GB2312" w:eastAsia="仿宋_GB2312" w:cs="DengXian-Regular"/>
          <w:sz w:val="32"/>
          <w:szCs w:val="32"/>
        </w:rPr>
        <w:t>政府性基金预算财政拨款</w:t>
      </w:r>
      <w:r>
        <w:rPr>
          <w:rFonts w:ascii="仿宋_GB2312" w:hAnsi="仿宋_GB2312" w:eastAsia="仿宋_GB2312" w:cs="DengXian-Regular"/>
          <w:sz w:val="32"/>
          <w:szCs w:val="32"/>
          <w:lang w:eastAsia="zh-CN"/>
        </w:rPr>
        <w:t>及</w:t>
      </w:r>
      <w:r>
        <w:rPr>
          <w:rFonts w:ascii="仿宋_GB2312" w:hAnsi="仿宋_GB2312" w:eastAsia="仿宋_GB2312" w:cs="DengXian-Regular"/>
          <w:sz w:val="32"/>
          <w:szCs w:val="32"/>
        </w:rPr>
        <w:t>国有资本经营预算财政拨款无收支及结转结余情况，故以空表列示。</w:t>
      </w:r>
    </w:p>
    <w:p>
      <w:pPr>
        <w:pStyle w:val="6"/>
        <w:snapToGrid w:val="0"/>
        <w:spacing w:line="580" w:lineRule="exact"/>
        <w:ind w:firstLine="640"/>
        <w:rPr>
          <w:rFonts w:ascii="仿宋_GB2312" w:hAnsi="仿宋_GB2312" w:eastAsia="仿宋_GB2312" w:cs="DengXian-Regular"/>
          <w:sz w:val="32"/>
          <w:szCs w:val="32"/>
        </w:rPr>
      </w:pPr>
      <w:r>
        <w:rPr>
          <w:rFonts w:ascii="仿宋_GB2312" w:hAnsi="仿宋_GB2312" w:eastAsia="仿宋_GB2312" w:cs="DengXian-Regular"/>
          <w:sz w:val="32"/>
          <w:szCs w:val="32"/>
        </w:rPr>
        <w:t>2</w:t>
      </w:r>
      <w:r>
        <w:rPr>
          <w:rFonts w:ascii="仿宋_GB2312" w:hAnsi="仿宋_GB2312" w:eastAsia="仿宋_GB2312" w:cs="DengXian-Regular"/>
          <w:sz w:val="32"/>
          <w:szCs w:val="32"/>
          <w:lang w:eastAsia="zh-CN"/>
        </w:rPr>
        <w:t>、</w:t>
      </w:r>
      <w:r>
        <w:rPr>
          <w:rFonts w:ascii="仿宋_GB2312" w:hAnsi="仿宋_GB2312" w:eastAsia="仿宋_GB2312" w:cs="DengXian-Regular"/>
          <w:sz w:val="32"/>
          <w:szCs w:val="32"/>
        </w:rPr>
        <w:t>由于决算公开表格中金额数值应当保留两位小数，公开数据为四舍五入计算结果，个别数据合计项与分项之和存在小数点后差额，特此说明。</w:t>
      </w:r>
    </w:p>
    <w:p>
      <w:pPr>
        <w:sectPr>
          <w:headerReference r:id="rId4" w:type="default"/>
          <w:footerReference r:id="rId5" w:type="default"/>
          <w:pgSz w:w="11906" w:h="16838"/>
          <w:pgMar w:top="2098" w:right="1474" w:bottom="1984" w:left="1588" w:header="851" w:footer="992" w:gutter="0"/>
          <w:pgNumType w:fmt="decimal"/>
          <w:cols w:space="720" w:num="1"/>
          <w:formProt w:val="0"/>
          <w:docGrid w:linePitch="312" w:charSpace="43007"/>
        </w:sectPr>
      </w:pPr>
    </w:p>
    <w:p>
      <w:pPr>
        <w:pStyle w:val="6"/>
        <w:jc w:val="center"/>
        <w:rPr>
          <w:rFonts w:ascii="黑体" w:hAnsi="黑体" w:eastAsia="黑体" w:cs="黑体"/>
          <w:sz w:val="56"/>
          <w:szCs w:val="72"/>
        </w:rPr>
      </w:pPr>
    </w:p>
    <w:p>
      <w:pPr>
        <w:pStyle w:val="6"/>
        <w:jc w:val="center"/>
        <w:rPr>
          <w:rFonts w:ascii="黑体" w:hAnsi="黑体" w:eastAsia="黑体" w:cs="黑体"/>
          <w:sz w:val="56"/>
          <w:szCs w:val="72"/>
        </w:rPr>
      </w:pPr>
    </w:p>
    <w:p>
      <w:pPr>
        <w:pStyle w:val="6"/>
        <w:jc w:val="center"/>
        <w:rPr>
          <w:rFonts w:ascii="黑体" w:hAnsi="黑体" w:eastAsia="黑体" w:cs="黑体"/>
          <w:sz w:val="56"/>
          <w:szCs w:val="72"/>
        </w:rPr>
      </w:pPr>
    </w:p>
    <w:p>
      <w:pPr>
        <w:pStyle w:val="6"/>
        <w:jc w:val="center"/>
        <w:rPr>
          <w:sz w:val="72"/>
        </w:rPr>
      </w:pPr>
      <w:r>
        <w:rPr>
          <w:sz w:val="72"/>
        </w:rPr>
        <mc:AlternateContent>
          <mc:Choice Requires="wps">
            <w:drawing>
              <wp:anchor distT="0" distB="0" distL="0" distR="0" simplePos="0" relativeHeight="251659264" behindDoc="0" locked="0" layoutInCell="0" allowOverlap="1">
                <wp:simplePos x="0" y="0"/>
                <wp:positionH relativeFrom="column">
                  <wp:posOffset>-1021715</wp:posOffset>
                </wp:positionH>
                <wp:positionV relativeFrom="paragraph">
                  <wp:posOffset>441960</wp:posOffset>
                </wp:positionV>
                <wp:extent cx="7793990" cy="3342005"/>
                <wp:effectExtent l="4445" t="4445" r="12700" b="6985"/>
                <wp:wrapNone/>
                <wp:docPr id="36" name="文本框 5"/>
                <wp:cNvGraphicFramePr/>
                <a:graphic xmlns:a="http://schemas.openxmlformats.org/drawingml/2006/main">
                  <a:graphicData uri="http://schemas.microsoft.com/office/word/2010/wordprocessingShape">
                    <wps:wsp>
                      <wps:cNvSpPr/>
                      <wps:spPr>
                        <a:xfrm>
                          <a:off x="0" y="0"/>
                          <a:ext cx="7793280" cy="3341520"/>
                        </a:xfrm>
                        <a:prstGeom prst="rect">
                          <a:avLst/>
                        </a:prstGeom>
                        <a:pattFill prst="wdUpDiag">
                          <a:fgClr>
                            <a:srgbClr val="FFD966"/>
                          </a:fgClr>
                          <a:bgClr>
                            <a:srgbClr val="FFFFFF"/>
                          </a:bgClr>
                        </a:pattFill>
                        <a:ln w="6350">
                          <a:solidFill>
                            <a:srgbClr val="FFD966"/>
                          </a:solidFill>
                          <a:round/>
                        </a:ln>
                      </wps:spPr>
                      <wps:style>
                        <a:lnRef idx="0">
                          <a:srgbClr val="FFFFFF"/>
                        </a:lnRef>
                        <a:fillRef idx="0">
                          <a:srgbClr val="FFFFFF"/>
                        </a:fillRef>
                        <a:effectRef idx="0">
                          <a:srgbClr val="FFFFFF"/>
                        </a:effectRef>
                        <a:fontRef idx="minor"/>
                      </wps:style>
                      <wps:txbx>
                        <w:txbxContent>
                          <w:p>
                            <w:pPr>
                              <w:pStyle w:val="11"/>
                              <w:widowControl/>
                              <w:jc w:val="center"/>
                            </w:pPr>
                            <w:r>
                              <w:rPr>
                                <w:rFonts w:ascii="黑体" w:hAnsi="黑体" w:eastAsia="黑体" w:cs="黑体"/>
                                <w:color w:val="000000" w:themeColor="text1"/>
                                <w:sz w:val="90"/>
                                <w:szCs w:val="90"/>
                                <w14:textFill>
                                  <w14:solidFill>
                                    <w14:schemeClr w14:val="tx1"/>
                                  </w14:solidFill>
                                </w14:textFill>
                              </w:rPr>
                              <w:t>第三部分 相关名词解释</w:t>
                            </w:r>
                          </w:p>
                        </w:txbxContent>
                      </wps:txbx>
                      <wps:bodyPr anchor="ctr">
                        <a:noAutofit/>
                      </wps:bodyPr>
                    </wps:wsp>
                  </a:graphicData>
                </a:graphic>
              </wp:anchor>
            </w:drawing>
          </mc:Choice>
          <mc:Fallback>
            <w:pict>
              <v:rect id="文本框 5" o:spid="_x0000_s1026" o:spt="1" style="position:absolute;left:0pt;margin-left:-80.45pt;margin-top:34.8pt;height:263.15pt;width:613.7pt;z-index:251659264;v-text-anchor:middle;mso-width-relative:page;mso-height-relative:page;" fillcolor="#FFD966" filled="t" stroked="t" coordsize="21600,21600" o:allowincell="f" o:gfxdata="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9KMNkAAAAMAQAADwAAAAAAAAABACAAAAAiAAAAZHJzL2Rvd25y&#10;ZXYueG1sUEsBAhQAFAAAAAgAh07iQOl1ebf9AQAAEwQAAA4AAAAAAAAAAQAgAAAAKAEAAGRycy9l&#10;Mm9Eb2MueG1sUEsFBgAAAAAGAAYAWQEAAJcFAAAAAA==&#10;">
                <v:fill type="pattern" on="t" color2="#FFFFFF" o:title="宽上对角线" focussize="0,0" r:id="rId15"/>
                <v:stroke weight="0.5pt" color="#FFD966" joinstyle="round"/>
                <v:imagedata o:title=""/>
                <o:lock v:ext="edit" aspectratio="f"/>
                <v:textbox>
                  <w:txbxContent>
                    <w:p>
                      <w:pPr>
                        <w:pStyle w:val="11"/>
                        <w:widowControl/>
                        <w:jc w:val="center"/>
                      </w:pPr>
                      <w:r>
                        <w:rPr>
                          <w:rFonts w:ascii="黑体" w:hAnsi="黑体" w:eastAsia="黑体" w:cs="黑体"/>
                          <w:color w:val="000000" w:themeColor="text1"/>
                          <w:sz w:val="90"/>
                          <w:szCs w:val="90"/>
                          <w14:textFill>
                            <w14:solidFill>
                              <w14:schemeClr w14:val="tx1"/>
                            </w14:solidFill>
                          </w14:textFill>
                        </w:rPr>
                        <w:t>第三部分 相关名词解释</w:t>
                      </w:r>
                    </w:p>
                  </w:txbxContent>
                </v:textbox>
              </v:rect>
            </w:pict>
          </mc:Fallback>
        </mc:AlternateContent>
      </w:r>
    </w:p>
    <w:p>
      <w:pPr>
        <w:pStyle w:val="6"/>
        <w:jc w:val="center"/>
        <w:rPr>
          <w:sz w:val="72"/>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sectPr>
          <w:headerReference r:id="rId7" w:type="first"/>
          <w:footerReference r:id="rId9" w:type="first"/>
          <w:headerReference r:id="rId6" w:type="default"/>
          <w:footerReference r:id="rId8" w:type="default"/>
          <w:pgSz w:w="11906" w:h="16838"/>
          <w:pgMar w:top="2041" w:right="1531" w:bottom="2041" w:left="1531" w:header="851" w:footer="992" w:gutter="0"/>
          <w:pgNumType w:fmt="decimal"/>
          <w:cols w:space="720" w:num="1"/>
          <w:formProt w:val="0"/>
          <w:titlePg/>
          <w:docGrid w:type="lines" w:linePitch="312" w:charSpace="43007"/>
        </w:sectPr>
      </w:pPr>
    </w:p>
    <w:p>
      <w:pPr>
        <w:pStyle w:val="6"/>
        <w:widowControl/>
        <w:spacing w:line="560" w:lineRule="exact"/>
        <w:ind w:firstLine="643"/>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（一）财政拨款收入：</w:t>
      </w:r>
      <w:r>
        <w:rPr>
          <w:rFonts w:ascii="仿宋_GB2312" w:hAnsi="仿宋_GB2312" w:eastAsia="仿宋_GB2312" w:cs="Times New Roman"/>
          <w:color w:val="000000"/>
          <w:kern w:val="0"/>
          <w:sz w:val="32"/>
          <w:szCs w:val="32"/>
        </w:rPr>
        <w:t>本年度从本级财政部门取得的财政拨款，包括一般公共预算财政拨款和政府性基金预算财政拨款。</w:t>
      </w:r>
    </w:p>
    <w:p>
      <w:pPr>
        <w:pStyle w:val="6"/>
        <w:widowControl/>
        <w:spacing w:line="560" w:lineRule="exact"/>
        <w:ind w:firstLine="643"/>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（二）事业收入：</w:t>
      </w:r>
      <w:r>
        <w:rPr>
          <w:rFonts w:ascii="仿宋_GB2312" w:hAnsi="仿宋_GB2312" w:eastAsia="仿宋_GB2312" w:cs="Times New Roman"/>
          <w:color w:val="000000"/>
          <w:kern w:val="0"/>
          <w:sz w:val="32"/>
          <w:szCs w:val="32"/>
        </w:rPr>
        <w:t>指事业单位开展专业业务活动及辅助活动所取得的收入。</w:t>
      </w:r>
    </w:p>
    <w:p>
      <w:pPr>
        <w:pStyle w:val="6"/>
        <w:widowControl/>
        <w:spacing w:line="560" w:lineRule="exact"/>
        <w:ind w:firstLine="643"/>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（三）其他收入：</w:t>
      </w:r>
      <w:r>
        <w:rPr>
          <w:rFonts w:ascii="仿宋_GB2312" w:hAnsi="仿宋_GB2312" w:eastAsia="仿宋_GB2312" w:cs="Times New Roman"/>
          <w:color w:val="000000"/>
          <w:kern w:val="0"/>
          <w:sz w:val="32"/>
          <w:szCs w:val="32"/>
        </w:rPr>
        <w:t>指除上述“财政拨款收入”“事业收入”“经营收入”等以外的收入。</w:t>
      </w:r>
    </w:p>
    <w:p>
      <w:pPr>
        <w:pStyle w:val="6"/>
        <w:widowControl/>
        <w:spacing w:line="560" w:lineRule="exact"/>
        <w:ind w:firstLine="643"/>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（四）用事业基金弥补收支差额：</w:t>
      </w:r>
      <w:r>
        <w:rPr>
          <w:rFonts w:ascii="仿宋_GB2312" w:hAnsi="仿宋_GB2312"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pStyle w:val="6"/>
        <w:widowControl/>
        <w:spacing w:line="560" w:lineRule="exact"/>
        <w:ind w:firstLine="643"/>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（五）年初结转和结余：</w:t>
      </w:r>
      <w:r>
        <w:rPr>
          <w:rFonts w:ascii="仿宋_GB2312" w:hAnsi="仿宋_GB2312" w:eastAsia="仿宋_GB2312" w:cs="Times New Roman"/>
          <w:color w:val="000000"/>
          <w:kern w:val="0"/>
          <w:sz w:val="32"/>
          <w:szCs w:val="32"/>
        </w:rPr>
        <w:t>指以前年度尚未完成、结转到本年仍按原规定用途继续使用的资金，或项目已完成等产生的结余资金。</w:t>
      </w:r>
    </w:p>
    <w:p>
      <w:pPr>
        <w:pStyle w:val="6"/>
        <w:widowControl/>
        <w:spacing w:line="560" w:lineRule="exact"/>
        <w:ind w:firstLine="643"/>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（六）结余分配：</w:t>
      </w:r>
      <w:r>
        <w:rPr>
          <w:rFonts w:ascii="仿宋_GB2312" w:hAnsi="仿宋_GB2312" w:eastAsia="仿宋_GB2312" w:cs="Times New Roman"/>
          <w:color w:val="000000"/>
          <w:kern w:val="0"/>
          <w:sz w:val="32"/>
          <w:szCs w:val="32"/>
        </w:rPr>
        <w:t>指事业单位按照事业单位会计制度的规定从非财政补助结余中分配的事业基金和职工福利基金等。</w:t>
      </w:r>
    </w:p>
    <w:p>
      <w:pPr>
        <w:pStyle w:val="6"/>
        <w:widowControl/>
        <w:spacing w:line="560" w:lineRule="exact"/>
        <w:ind w:firstLine="643"/>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（七）年末结转和结余：</w:t>
      </w:r>
      <w:r>
        <w:rPr>
          <w:rFonts w:ascii="仿宋_GB2312" w:hAnsi="仿宋_GB2312" w:eastAsia="仿宋_GB2312" w:cs="Times New Roman"/>
          <w:color w:val="000000"/>
          <w:kern w:val="0"/>
          <w:sz w:val="32"/>
          <w:szCs w:val="32"/>
        </w:rPr>
        <w:t>指单位按有关规定结转到下年或以后年度继续使用的资金，或项目已完成等产生的结余资金。</w:t>
      </w:r>
    </w:p>
    <w:p>
      <w:pPr>
        <w:pStyle w:val="6"/>
        <w:widowControl/>
        <w:spacing w:line="560" w:lineRule="exact"/>
        <w:ind w:firstLine="643"/>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（八）基本支出：</w:t>
      </w:r>
      <w:r>
        <w:rPr>
          <w:rFonts w:ascii="仿宋_GB2312" w:hAnsi="仿宋_GB2312" w:eastAsia="仿宋_GB2312" w:cs="Times New Roman"/>
          <w:color w:val="000000"/>
          <w:kern w:val="0"/>
          <w:sz w:val="32"/>
          <w:szCs w:val="32"/>
        </w:rPr>
        <w:t>填列单位为保障机构正常运转、完成日常工作任务而发生的各项支出。</w:t>
      </w:r>
    </w:p>
    <w:p>
      <w:pPr>
        <w:pStyle w:val="6"/>
        <w:widowControl/>
        <w:spacing w:line="560" w:lineRule="exact"/>
        <w:ind w:firstLine="643"/>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（九）项目支出：</w:t>
      </w:r>
      <w:r>
        <w:rPr>
          <w:rFonts w:ascii="仿宋_GB2312" w:hAnsi="仿宋_GB2312" w:eastAsia="仿宋_GB2312" w:cs="Times New Roman"/>
          <w:color w:val="000000"/>
          <w:kern w:val="0"/>
          <w:sz w:val="32"/>
          <w:szCs w:val="32"/>
        </w:rPr>
        <w:t>填列单位为完成特定的行政工作任务或事业发展目标，在基本支出之外发生的各项支出</w:t>
      </w:r>
    </w:p>
    <w:p>
      <w:pPr>
        <w:pStyle w:val="6"/>
        <w:widowControl/>
        <w:spacing w:line="560" w:lineRule="exact"/>
        <w:ind w:firstLine="643"/>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（十）基本建设支出：</w:t>
      </w:r>
      <w:r>
        <w:rPr>
          <w:rFonts w:ascii="仿宋_GB2312" w:hAnsi="仿宋_GB2312"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pStyle w:val="6"/>
        <w:widowControl/>
        <w:spacing w:line="560" w:lineRule="exact"/>
        <w:ind w:firstLine="643"/>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（十一）其他资本性支出：</w:t>
      </w:r>
      <w:r>
        <w:rPr>
          <w:rFonts w:ascii="仿宋_GB2312" w:hAnsi="仿宋_GB2312"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pStyle w:val="6"/>
        <w:snapToGrid w:val="0"/>
        <w:spacing w:line="560" w:lineRule="exact"/>
        <w:ind w:firstLine="643"/>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（十二）“三公”经费：</w:t>
      </w:r>
      <w:r>
        <w:rPr>
          <w:rFonts w:ascii="仿宋_GB2312" w:hAnsi="仿宋_GB2312"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pStyle w:val="6"/>
        <w:snapToGrid w:val="0"/>
        <w:spacing w:line="560" w:lineRule="exact"/>
        <w:ind w:firstLine="643"/>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（十三）其他交通费用：</w:t>
      </w:r>
      <w:r>
        <w:rPr>
          <w:rFonts w:ascii="仿宋_GB2312" w:hAnsi="仿宋_GB2312"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pStyle w:val="6"/>
        <w:widowControl/>
        <w:spacing w:line="560" w:lineRule="exact"/>
        <w:ind w:firstLine="643"/>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（十四）公务用车购置：</w:t>
      </w:r>
      <w:r>
        <w:rPr>
          <w:rFonts w:ascii="仿宋_GB2312" w:hAnsi="仿宋_GB2312" w:eastAsia="仿宋_GB2312" w:cs="Times New Roman"/>
          <w:color w:val="000000"/>
          <w:kern w:val="0"/>
          <w:sz w:val="32"/>
          <w:szCs w:val="32"/>
        </w:rPr>
        <w:t>填列单位公务用车车辆购置支出（含车辆购置税、牌照费）。</w:t>
      </w:r>
    </w:p>
    <w:p>
      <w:pPr>
        <w:pStyle w:val="6"/>
        <w:widowControl/>
        <w:spacing w:line="560" w:lineRule="exact"/>
        <w:ind w:firstLine="643"/>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（十五）其他交通工具购置：</w:t>
      </w:r>
      <w:r>
        <w:rPr>
          <w:rFonts w:ascii="仿宋_GB2312" w:hAnsi="仿宋_GB2312" w:eastAsia="仿宋_GB2312" w:cs="Times New Roman"/>
          <w:color w:val="000000"/>
          <w:kern w:val="0"/>
          <w:sz w:val="32"/>
          <w:szCs w:val="32"/>
        </w:rPr>
        <w:t>填列单位除公务用车外的其他各类交通工具（如船舶、飞机等）购置支出（含车辆购置税、牌照费）。</w:t>
      </w:r>
    </w:p>
    <w:p>
      <w:pPr>
        <w:pStyle w:val="6"/>
        <w:widowControl/>
        <w:spacing w:line="560" w:lineRule="exact"/>
        <w:ind w:firstLine="643"/>
        <w:rPr>
          <w:rFonts w:ascii="仿宋_GB2312" w:hAnsi="仿宋_GB2312" w:eastAsia="仿宋_GB2312" w:cs="Times New Roman"/>
          <w:color w:val="000000"/>
          <w:kern w:val="0"/>
          <w:sz w:val="32"/>
          <w:szCs w:val="32"/>
        </w:rPr>
      </w:pPr>
      <w:r>
        <w:rPr>
          <w:rFonts w:ascii="仿宋_GB2312" w:hAnsi="仿宋_GB2312" w:eastAsia="仿宋_GB2312" w:cs="Times New Roman"/>
          <w:b/>
          <w:bCs/>
          <w:color w:val="000000"/>
          <w:kern w:val="0"/>
          <w:sz w:val="32"/>
          <w:szCs w:val="32"/>
        </w:rPr>
        <w:t>（十六）机关运行经费：</w:t>
      </w:r>
      <w:r>
        <w:rPr>
          <w:rFonts w:ascii="仿宋_GB2312" w:hAnsi="仿宋_GB2312"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6"/>
        <w:tabs>
          <w:tab w:val="left" w:pos="235"/>
        </w:tabs>
        <w:ind w:firstLine="643"/>
        <w:jc w:val="left"/>
        <w:rPr>
          <w:rFonts w:ascii="仿宋_GB2312" w:hAnsi="仿宋_GB2312" w:eastAsia="仿宋_GB2312" w:cs="ArialUnicodeMS"/>
          <w:kern w:val="0"/>
          <w:sz w:val="32"/>
          <w:szCs w:val="32"/>
        </w:rPr>
      </w:pPr>
      <w:r>
        <w:rPr>
          <w:rFonts w:ascii="仿宋_GB2312" w:hAnsi="仿宋_GB2312" w:eastAsia="仿宋_GB2312" w:cs="Times New Roman"/>
          <w:b/>
          <w:bCs/>
          <w:color w:val="000000"/>
          <w:kern w:val="0"/>
          <w:sz w:val="32"/>
          <w:szCs w:val="32"/>
        </w:rPr>
        <w:t>（十七）经费形式:</w:t>
      </w:r>
      <w:r>
        <w:rPr>
          <w:rFonts w:ascii="仿宋_GB2312" w:hAnsi="仿宋_GB2312" w:eastAsia="仿宋_GB2312" w:cs="Times New Roman"/>
          <w:color w:val="000000"/>
          <w:kern w:val="0"/>
          <w:sz w:val="32"/>
          <w:szCs w:val="32"/>
        </w:rPr>
        <w:t>按照经费来源，</w:t>
      </w:r>
      <w:r>
        <w:rPr>
          <w:rFonts w:ascii="仿宋_GB2312" w:hAnsi="仿宋_GB2312" w:eastAsia="仿宋_GB2312" w:cs="ArialUnicodeMS"/>
          <w:kern w:val="0"/>
          <w:sz w:val="32"/>
          <w:szCs w:val="32"/>
        </w:rPr>
        <w:t>可分为财政拨款、财政性资金基本保证、财政性资金定额或定项补助、财政性资金零补助四类。</w:t>
      </w: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sectPr>
          <w:type w:val="continuous"/>
          <w:pgSz w:w="11906" w:h="16838"/>
          <w:pgMar w:top="2041" w:right="1531" w:bottom="2041" w:left="1531" w:header="851" w:footer="992" w:gutter="0"/>
          <w:cols w:space="720" w:num="1"/>
          <w:formProt w:val="0"/>
          <w:docGrid w:type="lines" w:linePitch="312" w:charSpace="43007"/>
        </w:sectPr>
      </w:pPr>
    </w:p>
    <w:p>
      <w:pPr>
        <w:pStyle w:val="6"/>
        <w:tabs>
          <w:tab w:val="left" w:pos="235"/>
        </w:tabs>
        <w:jc w:val="left"/>
        <w:rPr>
          <w:rFonts w:ascii="宋体" w:hAnsi="宋体" w:eastAsia="宋体" w:cs="MS-UIGothic,Bold"/>
          <w:b/>
          <w:bCs/>
          <w:kern w:val="0"/>
          <w:sz w:val="44"/>
          <w:szCs w:val="44"/>
        </w:rPr>
        <w:sectPr>
          <w:headerReference r:id="rId10" w:type="default"/>
          <w:footerReference r:id="rId11" w:type="default"/>
          <w:pgSz w:w="11906" w:h="16838"/>
          <w:pgMar w:top="2098" w:right="1474" w:bottom="1985" w:left="1588" w:header="851" w:footer="992" w:gutter="0"/>
          <w:pgNumType w:fmt="decimal"/>
          <w:cols w:space="720" w:num="1"/>
          <w:formProt w:val="0"/>
          <w:docGrid w:type="lines" w:linePitch="312" w:charSpace="43007"/>
        </w:sectPr>
      </w:pPr>
      <w:r>
        <mc:AlternateContent>
          <mc:Choice Requires="wps">
            <w:drawing>
              <wp:anchor distT="0" distB="0" distL="0" distR="0" simplePos="0" relativeHeight="251659264" behindDoc="1" locked="0" layoutInCell="0" allowOverlap="1">
                <wp:simplePos x="0" y="0"/>
                <wp:positionH relativeFrom="column">
                  <wp:posOffset>-1042035</wp:posOffset>
                </wp:positionH>
                <wp:positionV relativeFrom="paragraph">
                  <wp:posOffset>1725295</wp:posOffset>
                </wp:positionV>
                <wp:extent cx="7793990" cy="3342005"/>
                <wp:effectExtent l="4445" t="4445" r="12700" b="6985"/>
                <wp:wrapNone/>
                <wp:docPr id="46" name="文本框 4"/>
                <wp:cNvGraphicFramePr/>
                <a:graphic xmlns:a="http://schemas.openxmlformats.org/drawingml/2006/main">
                  <a:graphicData uri="http://schemas.microsoft.com/office/word/2010/wordprocessingShape">
                    <wps:wsp>
                      <wps:cNvSpPr/>
                      <wps:spPr>
                        <a:xfrm>
                          <a:off x="0" y="0"/>
                          <a:ext cx="7793280" cy="3341520"/>
                        </a:xfrm>
                        <a:prstGeom prst="rect">
                          <a:avLst/>
                        </a:prstGeom>
                        <a:pattFill prst="wdUpDiag">
                          <a:fgClr>
                            <a:srgbClr val="FFD966"/>
                          </a:fgClr>
                          <a:bgClr>
                            <a:srgbClr val="FFFFFF"/>
                          </a:bgClr>
                        </a:pattFill>
                        <a:ln w="6350">
                          <a:solidFill>
                            <a:srgbClr val="FFD966"/>
                          </a:solidFill>
                          <a:round/>
                        </a:ln>
                      </wps:spPr>
                      <wps:style>
                        <a:lnRef idx="0">
                          <a:srgbClr val="FFFFFF"/>
                        </a:lnRef>
                        <a:fillRef idx="0">
                          <a:srgbClr val="FFFFFF"/>
                        </a:fillRef>
                        <a:effectRef idx="0">
                          <a:srgbClr val="FFFFFF"/>
                        </a:effectRef>
                        <a:fontRef idx="minor"/>
                      </wps:style>
                      <wps:txbx>
                        <w:txbxContent>
                          <w:p>
                            <w:pPr>
                              <w:pStyle w:val="11"/>
                              <w:widowControl/>
                              <w:jc w:val="center"/>
                              <w:rPr>
                                <w:rFonts w:ascii="黑体" w:hAnsi="黑体" w:eastAsia="黑体" w:cs="黑体"/>
                                <w:color w:val="000000" w:themeColor="text1"/>
                                <w:sz w:val="90"/>
                                <w:szCs w:val="90"/>
                                <w14:textFill>
                                  <w14:solidFill>
                                    <w14:schemeClr w14:val="tx1"/>
                                  </w14:solidFill>
                                </w14:textFill>
                              </w:rPr>
                            </w:pPr>
                            <w:r>
                              <w:rPr>
                                <w:rFonts w:ascii="黑体" w:hAnsi="黑体" w:eastAsia="黑体" w:cs="黑体"/>
                                <w:color w:val="000000" w:themeColor="text1"/>
                                <w:sz w:val="90"/>
                                <w:szCs w:val="90"/>
                                <w14:textFill>
                                  <w14:solidFill>
                                    <w14:schemeClr w14:val="tx1"/>
                                  </w14:solidFill>
                                </w14:textFill>
                              </w:rPr>
                              <w:t xml:space="preserve">第四部分 </w:t>
                            </w:r>
                          </w:p>
                          <w:p>
                            <w:pPr>
                              <w:pStyle w:val="11"/>
                              <w:widowControl/>
                              <w:jc w:val="center"/>
                            </w:pPr>
                            <w:r>
                              <w:rPr>
                                <w:rFonts w:ascii="黑体" w:hAnsi="黑体" w:eastAsia="黑体" w:cs="黑体"/>
                                <w:color w:val="000000" w:themeColor="text1"/>
                                <w:sz w:val="90"/>
                                <w:szCs w:val="90"/>
                                <w14:textFill>
                                  <w14:solidFill>
                                    <w14:schemeClr w14:val="tx1"/>
                                  </w14:solidFill>
                                </w14:textFill>
                              </w:rPr>
                              <w:t>2019年度部门决算报表</w:t>
                            </w:r>
                          </w:p>
                        </w:txbxContent>
                      </wps:txbx>
                      <wps:bodyPr anchor="ctr">
                        <a:noAutofit/>
                      </wps:bodyPr>
                    </wps:wsp>
                  </a:graphicData>
                </a:graphic>
              </wp:anchor>
            </w:drawing>
          </mc:Choice>
          <mc:Fallback>
            <w:pict>
              <v:rect id="文本框 4" o:spid="_x0000_s1026" o:spt="1" style="position:absolute;left:0pt;margin-left:-82.05pt;margin-top:135.85pt;height:263.15pt;width:613.7pt;z-index:-251657216;v-text-anchor:middle;mso-width-relative:page;mso-height-relative:page;" fillcolor="#FFD966" filled="t" stroked="t" coordsize="21600,21600" o:allowincell="f" o:gfxdata="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wU2f2wAAAA0BAAAPAAAAAAAAAAEAIAAAACIAAABkcnMvZG93&#10;bnJldi54bWxQSwECFAAUAAAACACHTuJAInGU3f0BAAATBAAADgAAAAAAAAABACAAAAAqAQAAZHJz&#10;L2Uyb0RvYy54bWxQSwUGAAAAAAYABgBZAQAAmQUAAAAA&#10;">
                <v:fill type="pattern" on="t" color2="#FFFFFF" o:title="宽上对角线" focussize="0,0" r:id="rId15"/>
                <v:stroke weight="0.5pt" color="#FFD966" joinstyle="round"/>
                <v:imagedata o:title=""/>
                <o:lock v:ext="edit" aspectratio="f"/>
                <v:textbox>
                  <w:txbxContent>
                    <w:p>
                      <w:pPr>
                        <w:pStyle w:val="11"/>
                        <w:widowControl/>
                        <w:jc w:val="center"/>
                        <w:rPr>
                          <w:rFonts w:ascii="黑体" w:hAnsi="黑体" w:eastAsia="黑体" w:cs="黑体"/>
                          <w:color w:val="000000" w:themeColor="text1"/>
                          <w:sz w:val="90"/>
                          <w:szCs w:val="90"/>
                          <w14:textFill>
                            <w14:solidFill>
                              <w14:schemeClr w14:val="tx1"/>
                            </w14:solidFill>
                          </w14:textFill>
                        </w:rPr>
                      </w:pPr>
                      <w:r>
                        <w:rPr>
                          <w:rFonts w:ascii="黑体" w:hAnsi="黑体" w:eastAsia="黑体" w:cs="黑体"/>
                          <w:color w:val="000000" w:themeColor="text1"/>
                          <w:sz w:val="90"/>
                          <w:szCs w:val="90"/>
                          <w14:textFill>
                            <w14:solidFill>
                              <w14:schemeClr w14:val="tx1"/>
                            </w14:solidFill>
                          </w14:textFill>
                        </w:rPr>
                        <w:t xml:space="preserve">第四部分 </w:t>
                      </w:r>
                    </w:p>
                    <w:p>
                      <w:pPr>
                        <w:pStyle w:val="11"/>
                        <w:widowControl/>
                        <w:jc w:val="center"/>
                      </w:pPr>
                      <w:r>
                        <w:rPr>
                          <w:rFonts w:ascii="黑体" w:hAnsi="黑体" w:eastAsia="黑体" w:cs="黑体"/>
                          <w:color w:val="000000" w:themeColor="text1"/>
                          <w:sz w:val="90"/>
                          <w:szCs w:val="90"/>
                          <w14:textFill>
                            <w14:solidFill>
                              <w14:schemeClr w14:val="tx1"/>
                            </w14:solidFill>
                          </w14:textFill>
                        </w:rPr>
                        <w:t>2019年度部门决算报表</w:t>
                      </w:r>
                    </w:p>
                  </w:txbxContent>
                </v:textbox>
              </v:rect>
            </w:pict>
          </mc:Fallback>
        </mc:AlternateContent>
      </w:r>
    </w:p>
    <w:p>
      <w:pPr>
        <w:pStyle w:val="6"/>
        <w:rPr>
          <w:rFonts w:ascii="宋体" w:hAnsi="宋体" w:eastAsia="宋体" w:cs="MS-UIGothic,Bold"/>
          <w:b/>
          <w:bCs/>
          <w:kern w:val="0"/>
          <w:sz w:val="44"/>
          <w:szCs w:val="44"/>
        </w:rPr>
      </w:pPr>
      <w:r>
        <w:object>
          <v:shape id="_x0000_i1025" o:spt="75" type="#_x0000_t75" style="height:513.9pt;width:453.15pt;" o:ole="t" filled="f" coordsize="21600,21600">
            <v:path/>
            <v:fill on="f" focussize="0,0"/>
            <v:stroke/>
            <v:imagedata r:id="rId20" o:title=""/>
            <o:lock v:ext="edit" aspectratio="t"/>
            <w10:wrap type="none"/>
            <w10:anchorlock/>
          </v:shape>
          <o:OLEObject Type="Embed" ProgID="Excel.Sheet.12" ShapeID="_x0000_i1025" DrawAspect="Content" ObjectID="_1468075725" r:id="rId19">
            <o:LockedField>false</o:LockedField>
          </o:OLEObject>
        </w:object>
      </w:r>
    </w:p>
    <w:p>
      <w:pPr>
        <w:pStyle w:val="6"/>
        <w:rPr>
          <w:rFonts w:ascii="宋体" w:hAnsi="宋体" w:eastAsia="宋体" w:cs="MS-UIGothic,Bold"/>
          <w:b/>
          <w:bCs/>
          <w:kern w:val="0"/>
          <w:sz w:val="44"/>
          <w:szCs w:val="44"/>
        </w:rPr>
      </w:pPr>
      <w:r>
        <w:br w:type="page"/>
      </w:r>
    </w:p>
    <w:p>
      <w:pPr>
        <w:pStyle w:val="6"/>
        <w:rPr>
          <w:rFonts w:ascii="宋体" w:hAnsi="宋体" w:eastAsia="宋体" w:cs="MS-UIGothic,Bold"/>
          <w:b/>
          <w:bCs/>
          <w:kern w:val="0"/>
          <w:sz w:val="44"/>
          <w:szCs w:val="44"/>
        </w:rPr>
      </w:pPr>
      <w:r>
        <w:object>
          <v:shape id="_x0000_i1027" o:spt="75" type="#_x0000_t75" style="height:413pt;width:453.4pt;" o:ole="t" filled="f" coordsize="21600,21600">
            <v:path/>
            <v:fill on="f" focussize="0,0"/>
            <v:stroke/>
            <v:imagedata r:id="rId22" o:title=""/>
            <o:lock v:ext="edit" aspectratio="t"/>
            <w10:wrap type="none"/>
            <w10:anchorlock/>
          </v:shape>
          <o:OLEObject Type="Embed" ProgID="Excel.Sheet.12" ShapeID="_x0000_i1027" DrawAspect="Content" ObjectID="_1468075726" r:id="rId21">
            <o:LockedField>false</o:LockedField>
          </o:OLEObject>
        </w:object>
      </w:r>
    </w:p>
    <w:p>
      <w:pPr>
        <w:pStyle w:val="6"/>
        <w:rPr>
          <w:rFonts w:ascii="宋体" w:hAnsi="宋体" w:eastAsia="宋体" w:cs="MS-UIGothic,Bold"/>
          <w:b/>
          <w:bCs/>
          <w:kern w:val="0"/>
          <w:sz w:val="44"/>
          <w:szCs w:val="44"/>
        </w:rPr>
      </w:pPr>
      <w:r>
        <w:br w:type="page"/>
      </w:r>
    </w:p>
    <w:p>
      <w:pPr>
        <w:pStyle w:val="6"/>
        <w:rPr>
          <w:rFonts w:ascii="宋体" w:hAnsi="宋体" w:eastAsia="宋体" w:cs="MS-UIGothic,Bold"/>
          <w:b/>
          <w:bCs/>
          <w:kern w:val="0"/>
          <w:sz w:val="44"/>
          <w:szCs w:val="44"/>
        </w:rPr>
      </w:pPr>
      <w:r>
        <w:object>
          <v:shape id="_x0000_i1028" o:spt="75" type="#_x0000_t75" style="height:285.65pt;width:453.1pt;" o:ole="t" filled="f" coordsize="21600,21600">
            <v:path/>
            <v:fill on="f" focussize="0,0"/>
            <v:stroke/>
            <v:imagedata r:id="rId24" o:title=""/>
            <o:lock v:ext="edit" aspectratio="t"/>
            <w10:wrap type="none"/>
            <w10:anchorlock/>
          </v:shape>
          <o:OLEObject Type="Embed" ProgID="Excel.Sheet.12" ShapeID="_x0000_i1028" DrawAspect="Content" ObjectID="_1468075727" r:id="rId23">
            <o:LockedField>false</o:LockedField>
          </o:OLEObject>
        </w:object>
      </w: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r>
        <w:object>
          <v:shape id="_x0000_i1029" o:spt="75" type="#_x0000_t75" style="height:351.4pt;width:453.15pt;" o:ole="t" filled="f" coordsize="21600,21600">
            <v:path/>
            <v:fill on="f" focussize="0,0"/>
            <v:stroke/>
            <v:imagedata r:id="rId26" o:title=""/>
            <o:lock v:ext="edit" aspectratio="t"/>
            <w10:wrap type="none"/>
            <w10:anchorlock/>
          </v:shape>
          <o:OLEObject Type="Embed" ProgID="Excel.Sheet.12" ShapeID="_x0000_i1029" DrawAspect="Content" ObjectID="_1468075728" r:id="rId25">
            <o:LockedField>false</o:LockedField>
          </o:OLEObject>
        </w:object>
      </w: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r>
        <w:object>
          <v:shape id="_x0000_i1030" o:spt="75" type="#_x0000_t75" style="height:380.4pt;width:453.5pt;" o:ole="t" filled="f" coordsize="21600,21600">
            <v:path/>
            <v:fill on="f" focussize="0,0"/>
            <v:stroke/>
            <v:imagedata r:id="rId28" o:title=""/>
            <o:lock v:ext="edit" aspectratio="t"/>
            <w10:wrap type="none"/>
            <w10:anchorlock/>
          </v:shape>
          <o:OLEObject Type="Embed" ProgID="Excel.Sheet.12" ShapeID="_x0000_i1030" DrawAspect="Content" ObjectID="_1468075729" r:id="rId27">
            <o:LockedField>false</o:LockedField>
          </o:OLEObject>
        </w:object>
      </w: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r>
        <w:object>
          <v:shape id="_x0000_i1031" o:spt="75" type="#_x0000_t75" style="height:404pt;width:453.2pt;" o:ole="t" filled="f" coordsize="21600,21600">
            <v:path/>
            <v:fill on="f" focussize="0,0"/>
            <v:stroke/>
            <v:imagedata r:id="rId30" o:title=""/>
            <o:lock v:ext="edit" aspectratio="t"/>
            <w10:wrap type="none"/>
            <w10:anchorlock/>
          </v:shape>
          <o:OLEObject Type="Embed" ProgID="Excel.Sheet.12" ShapeID="_x0000_i1031" DrawAspect="Content" ObjectID="_1468075730" r:id="rId29">
            <o:LockedField>false</o:LockedField>
          </o:OLEObject>
        </w:object>
      </w: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r>
        <w:object>
          <v:shape id="_x0000_i1032" o:spt="75" type="#_x0000_t75" style="height:298.4pt;width:452.9pt;" o:ole="t" filled="f" coordsize="21600,21600">
            <v:path/>
            <v:fill on="f" focussize="0,0"/>
            <v:stroke/>
            <v:imagedata r:id="rId32" o:title=""/>
            <o:lock v:ext="edit" aspectratio="t"/>
            <w10:wrap type="none"/>
            <w10:anchorlock/>
          </v:shape>
          <o:OLEObject Type="Embed" ProgID="Excel.Sheet.12" ShapeID="_x0000_i1032" DrawAspect="Content" ObjectID="_1468075731" r:id="rId31">
            <o:LockedField>false</o:LockedField>
          </o:OLEObject>
        </w:object>
      </w: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tbl>
      <w:tblPr>
        <w:tblStyle w:val="2"/>
        <w:tblW w:w="9219" w:type="dxa"/>
        <w:jc w:val="center"/>
        <w:tblLayout w:type="fixed"/>
        <w:tblCellMar>
          <w:top w:w="15" w:type="dxa"/>
          <w:left w:w="15" w:type="dxa"/>
          <w:bottom w:w="0" w:type="dxa"/>
          <w:right w:w="15" w:type="dxa"/>
        </w:tblCellMar>
      </w:tblPr>
      <w:tblGrid>
        <w:gridCol w:w="1266"/>
        <w:gridCol w:w="1687"/>
        <w:gridCol w:w="1564"/>
        <w:gridCol w:w="1566"/>
        <w:gridCol w:w="1564"/>
        <w:gridCol w:w="1572"/>
      </w:tblGrid>
      <w:tr>
        <w:tblPrEx>
          <w:tblCellMar>
            <w:top w:w="15" w:type="dxa"/>
            <w:left w:w="15" w:type="dxa"/>
            <w:bottom w:w="0" w:type="dxa"/>
            <w:right w:w="15" w:type="dxa"/>
          </w:tblCellMar>
        </w:tblPrEx>
        <w:trPr>
          <w:trHeight w:val="638" w:hRule="atLeast"/>
          <w:jc w:val="center"/>
        </w:trPr>
        <w:tc>
          <w:tcPr>
            <w:tcW w:w="9219" w:type="dxa"/>
            <w:gridSpan w:val="6"/>
            <w:shd w:val="clear" w:color="auto" w:fill="auto"/>
            <w:vAlign w:val="center"/>
          </w:tcPr>
          <w:p>
            <w:pPr>
              <w:pStyle w:val="6"/>
              <w:widowControl w:val="0"/>
              <w:spacing w:before="0" w:after="0"/>
              <w:jc w:val="center"/>
              <w:textAlignment w:val="center"/>
              <w:rPr>
                <w:rFonts w:ascii="黑体" w:hAnsi="黑体" w:eastAsia="黑体" w:cs="黑体"/>
                <w:color w:val="000000"/>
                <w:sz w:val="32"/>
                <w:szCs w:val="32"/>
              </w:rPr>
            </w:pPr>
            <w:r>
              <w:rPr>
                <w:rFonts w:ascii="黑体" w:hAnsi="黑体" w:eastAsia="黑体" w:cs="黑体"/>
                <w:color w:val="000000"/>
                <w:kern w:val="0"/>
                <w:sz w:val="32"/>
                <w:szCs w:val="32"/>
              </w:rPr>
              <w:t>一般公共预算财政拨款“三公”经费支出决算表</w:t>
            </w:r>
          </w:p>
        </w:tc>
      </w:tr>
      <w:tr>
        <w:tblPrEx>
          <w:tblCellMar>
            <w:top w:w="15" w:type="dxa"/>
            <w:left w:w="15" w:type="dxa"/>
            <w:bottom w:w="0" w:type="dxa"/>
            <w:right w:w="15" w:type="dxa"/>
          </w:tblCellMar>
        </w:tblPrEx>
        <w:trPr>
          <w:trHeight w:val="360" w:hRule="atLeast"/>
          <w:jc w:val="center"/>
        </w:trPr>
        <w:tc>
          <w:tcPr>
            <w:tcW w:w="1266" w:type="dxa"/>
            <w:shd w:val="clear" w:color="auto" w:fill="auto"/>
            <w:vAlign w:val="bottom"/>
          </w:tcPr>
          <w:p>
            <w:pPr>
              <w:pStyle w:val="6"/>
              <w:widowControl w:val="0"/>
              <w:spacing w:before="0" w:after="0"/>
              <w:rPr>
                <w:rFonts w:ascii="Arial" w:hAnsi="Arial" w:cs="Arial"/>
                <w:color w:val="000000"/>
                <w:sz w:val="20"/>
                <w:szCs w:val="20"/>
              </w:rPr>
            </w:pPr>
          </w:p>
        </w:tc>
        <w:tc>
          <w:tcPr>
            <w:tcW w:w="1687" w:type="dxa"/>
            <w:shd w:val="clear" w:color="auto" w:fill="auto"/>
            <w:vAlign w:val="bottom"/>
          </w:tcPr>
          <w:p>
            <w:pPr>
              <w:pStyle w:val="6"/>
              <w:widowControl w:val="0"/>
              <w:spacing w:before="0" w:after="0"/>
              <w:rPr>
                <w:rFonts w:ascii="Arial" w:hAnsi="Arial" w:cs="Arial"/>
                <w:color w:val="000000"/>
                <w:sz w:val="20"/>
                <w:szCs w:val="20"/>
              </w:rPr>
            </w:pPr>
          </w:p>
        </w:tc>
        <w:tc>
          <w:tcPr>
            <w:tcW w:w="1564" w:type="dxa"/>
            <w:shd w:val="clear" w:color="auto" w:fill="auto"/>
            <w:vAlign w:val="bottom"/>
          </w:tcPr>
          <w:p>
            <w:pPr>
              <w:pStyle w:val="6"/>
              <w:widowControl w:val="0"/>
              <w:spacing w:before="0" w:after="0"/>
              <w:rPr>
                <w:rFonts w:ascii="Arial" w:hAnsi="Arial" w:cs="Arial"/>
                <w:color w:val="000000"/>
                <w:sz w:val="20"/>
                <w:szCs w:val="20"/>
              </w:rPr>
            </w:pPr>
          </w:p>
        </w:tc>
        <w:tc>
          <w:tcPr>
            <w:tcW w:w="1566" w:type="dxa"/>
            <w:shd w:val="clear" w:color="auto" w:fill="auto"/>
            <w:vAlign w:val="bottom"/>
          </w:tcPr>
          <w:p>
            <w:pPr>
              <w:pStyle w:val="6"/>
              <w:widowControl w:val="0"/>
              <w:spacing w:before="0" w:after="0"/>
              <w:rPr>
                <w:rFonts w:ascii="Arial" w:hAnsi="Arial" w:cs="Arial"/>
                <w:color w:val="000000"/>
                <w:sz w:val="20"/>
                <w:szCs w:val="20"/>
              </w:rPr>
            </w:pPr>
          </w:p>
        </w:tc>
        <w:tc>
          <w:tcPr>
            <w:tcW w:w="1564" w:type="dxa"/>
            <w:shd w:val="clear" w:color="auto" w:fill="auto"/>
            <w:vAlign w:val="bottom"/>
          </w:tcPr>
          <w:p>
            <w:pPr>
              <w:pStyle w:val="6"/>
              <w:widowControl w:val="0"/>
              <w:spacing w:before="0" w:after="0"/>
              <w:rPr>
                <w:rFonts w:ascii="Arial" w:hAnsi="Arial" w:cs="Arial"/>
                <w:color w:val="000000"/>
                <w:sz w:val="20"/>
                <w:szCs w:val="20"/>
              </w:rPr>
            </w:pPr>
          </w:p>
        </w:tc>
        <w:tc>
          <w:tcPr>
            <w:tcW w:w="1572" w:type="dxa"/>
            <w:shd w:val="clear" w:color="auto" w:fill="auto"/>
            <w:vAlign w:val="bottom"/>
          </w:tcPr>
          <w:p>
            <w:pPr>
              <w:pStyle w:val="6"/>
              <w:widowControl w:val="0"/>
              <w:spacing w:before="0" w:after="0"/>
              <w:jc w:val="right"/>
              <w:textAlignment w:val="bottom"/>
              <w:rPr>
                <w:rFonts w:ascii="宋体" w:hAnsi="宋体" w:eastAsia="宋体" w:cs="宋体"/>
                <w:color w:val="000000"/>
                <w:sz w:val="20"/>
                <w:szCs w:val="20"/>
              </w:rPr>
            </w:pPr>
            <w:r>
              <w:rPr>
                <w:rFonts w:ascii="宋体" w:hAnsi="宋体" w:eastAsia="宋体" w:cs="宋体"/>
                <w:color w:val="000000"/>
                <w:kern w:val="0"/>
                <w:sz w:val="20"/>
                <w:szCs w:val="20"/>
              </w:rPr>
              <w:t>公开07表</w:t>
            </w:r>
          </w:p>
        </w:tc>
      </w:tr>
      <w:tr>
        <w:tblPrEx>
          <w:tblCellMar>
            <w:top w:w="15" w:type="dxa"/>
            <w:left w:w="15" w:type="dxa"/>
            <w:bottom w:w="0" w:type="dxa"/>
            <w:right w:w="15" w:type="dxa"/>
          </w:tblCellMar>
        </w:tblPrEx>
        <w:trPr>
          <w:trHeight w:val="360" w:hRule="atLeast"/>
          <w:jc w:val="center"/>
        </w:trPr>
        <w:tc>
          <w:tcPr>
            <w:tcW w:w="1266" w:type="dxa"/>
            <w:shd w:val="clear" w:color="auto" w:fill="auto"/>
            <w:vAlign w:val="bottom"/>
          </w:tcPr>
          <w:p>
            <w:pPr>
              <w:pStyle w:val="6"/>
              <w:widowControl w:val="0"/>
              <w:spacing w:before="0" w:after="0"/>
              <w:jc w:val="left"/>
              <w:textAlignment w:val="bottom"/>
              <w:rPr>
                <w:rFonts w:ascii="宋体" w:hAnsi="宋体" w:eastAsia="宋体" w:cs="宋体"/>
                <w:color w:val="000000"/>
                <w:sz w:val="20"/>
                <w:szCs w:val="20"/>
              </w:rPr>
            </w:pPr>
            <w:r>
              <w:rPr>
                <w:rFonts w:ascii="宋体" w:hAnsi="宋体" w:eastAsia="宋体" w:cs="宋体"/>
                <w:color w:val="000000"/>
                <w:kern w:val="0"/>
                <w:sz w:val="20"/>
                <w:szCs w:val="20"/>
              </w:rPr>
              <w:t>部门：</w:t>
            </w:r>
          </w:p>
        </w:tc>
        <w:tc>
          <w:tcPr>
            <w:tcW w:w="1687" w:type="dxa"/>
            <w:shd w:val="clear" w:color="auto" w:fill="auto"/>
            <w:vAlign w:val="bottom"/>
          </w:tcPr>
          <w:p>
            <w:pPr>
              <w:pStyle w:val="6"/>
              <w:widowControl w:val="0"/>
              <w:spacing w:before="0" w:after="0"/>
              <w:rPr>
                <w:rFonts w:ascii="Arial" w:hAnsi="Arial" w:cs="Arial"/>
                <w:color w:val="000000"/>
                <w:sz w:val="20"/>
                <w:szCs w:val="20"/>
              </w:rPr>
            </w:pPr>
          </w:p>
        </w:tc>
        <w:tc>
          <w:tcPr>
            <w:tcW w:w="1564" w:type="dxa"/>
            <w:shd w:val="clear" w:color="auto" w:fill="auto"/>
            <w:vAlign w:val="bottom"/>
          </w:tcPr>
          <w:p>
            <w:pPr>
              <w:pStyle w:val="6"/>
              <w:widowControl w:val="0"/>
              <w:spacing w:before="0" w:after="0"/>
              <w:rPr>
                <w:rFonts w:ascii="Arial" w:hAnsi="Arial" w:cs="Arial"/>
                <w:color w:val="000000"/>
                <w:sz w:val="20"/>
                <w:szCs w:val="20"/>
              </w:rPr>
            </w:pPr>
          </w:p>
        </w:tc>
        <w:tc>
          <w:tcPr>
            <w:tcW w:w="1566" w:type="dxa"/>
            <w:shd w:val="clear" w:color="auto" w:fill="auto"/>
            <w:vAlign w:val="bottom"/>
          </w:tcPr>
          <w:p>
            <w:pPr>
              <w:pStyle w:val="6"/>
              <w:widowControl w:val="0"/>
              <w:spacing w:before="0" w:after="0"/>
              <w:rPr>
                <w:rFonts w:ascii="Arial" w:hAnsi="Arial" w:cs="Arial"/>
                <w:color w:val="000000"/>
                <w:sz w:val="20"/>
                <w:szCs w:val="20"/>
              </w:rPr>
            </w:pPr>
          </w:p>
        </w:tc>
        <w:tc>
          <w:tcPr>
            <w:tcW w:w="1564" w:type="dxa"/>
            <w:shd w:val="clear" w:color="auto" w:fill="auto"/>
            <w:vAlign w:val="bottom"/>
          </w:tcPr>
          <w:p>
            <w:pPr>
              <w:pStyle w:val="6"/>
              <w:widowControl w:val="0"/>
              <w:spacing w:before="0" w:after="0"/>
              <w:rPr>
                <w:rFonts w:ascii="Arial" w:hAnsi="Arial" w:cs="Arial"/>
                <w:color w:val="000000"/>
                <w:sz w:val="20"/>
                <w:szCs w:val="20"/>
              </w:rPr>
            </w:pPr>
          </w:p>
        </w:tc>
        <w:tc>
          <w:tcPr>
            <w:tcW w:w="1572" w:type="dxa"/>
            <w:shd w:val="clear" w:color="auto" w:fill="auto"/>
            <w:vAlign w:val="bottom"/>
          </w:tcPr>
          <w:p>
            <w:pPr>
              <w:pStyle w:val="6"/>
              <w:widowControl w:val="0"/>
              <w:spacing w:before="0" w:after="0"/>
              <w:jc w:val="right"/>
              <w:textAlignment w:val="bottom"/>
              <w:rPr>
                <w:rFonts w:ascii="宋体" w:hAnsi="宋体" w:eastAsia="宋体" w:cs="宋体"/>
                <w:color w:val="000000"/>
                <w:sz w:val="20"/>
                <w:szCs w:val="20"/>
              </w:rPr>
            </w:pPr>
            <w:r>
              <w:rPr>
                <w:rFonts w:ascii="宋体" w:hAnsi="宋体" w:eastAsia="宋体" w:cs="宋体"/>
                <w:color w:val="000000"/>
                <w:kern w:val="0"/>
                <w:sz w:val="20"/>
                <w:szCs w:val="20"/>
              </w:rPr>
              <w:t>金额单位：万元</w:t>
            </w:r>
          </w:p>
        </w:tc>
      </w:tr>
      <w:tr>
        <w:tblPrEx>
          <w:tblCellMar>
            <w:top w:w="15" w:type="dxa"/>
            <w:left w:w="15" w:type="dxa"/>
            <w:bottom w:w="0" w:type="dxa"/>
            <w:right w:w="15" w:type="dxa"/>
          </w:tblCellMar>
        </w:tblPrEx>
        <w:trPr>
          <w:trHeight w:val="417" w:hRule="atLeast"/>
          <w:jc w:val="center"/>
        </w:trPr>
        <w:tc>
          <w:tcPr>
            <w:tcW w:w="9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预算数</w:t>
            </w:r>
          </w:p>
        </w:tc>
      </w:tr>
      <w:tr>
        <w:tblPrEx>
          <w:tblCellMar>
            <w:top w:w="15" w:type="dxa"/>
            <w:left w:w="15" w:type="dxa"/>
            <w:bottom w:w="0" w:type="dxa"/>
            <w:right w:w="15" w:type="dxa"/>
          </w:tblCellMar>
        </w:tblPrEx>
        <w:trPr>
          <w:trHeight w:val="417" w:hRule="atLeast"/>
          <w:jc w:val="center"/>
        </w:trPr>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合计</w:t>
            </w:r>
          </w:p>
        </w:tc>
        <w:tc>
          <w:tcPr>
            <w:tcW w:w="1687" w:type="dxa"/>
            <w:vMerge w:val="restart"/>
            <w:tcBorders>
              <w:top w:val="single" w:color="000000" w:sz="4" w:space="0"/>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因公出国（境）费</w:t>
            </w:r>
          </w:p>
        </w:tc>
        <w:tc>
          <w:tcPr>
            <w:tcW w:w="4694" w:type="dxa"/>
            <w:gridSpan w:val="3"/>
            <w:tcBorders>
              <w:top w:val="single" w:color="000000" w:sz="4" w:space="0"/>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公务用车购置及运行费</w:t>
            </w:r>
          </w:p>
        </w:tc>
        <w:tc>
          <w:tcPr>
            <w:tcW w:w="1572" w:type="dxa"/>
            <w:vMerge w:val="restart"/>
            <w:tcBorders>
              <w:top w:val="single" w:color="000000" w:sz="4" w:space="0"/>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公务接待费</w:t>
            </w:r>
          </w:p>
        </w:tc>
      </w:tr>
      <w:tr>
        <w:tblPrEx>
          <w:tblCellMar>
            <w:top w:w="15" w:type="dxa"/>
            <w:left w:w="15" w:type="dxa"/>
            <w:bottom w:w="0" w:type="dxa"/>
            <w:right w:w="15" w:type="dxa"/>
          </w:tblCellMar>
        </w:tblPrEx>
        <w:trPr>
          <w:trHeight w:val="417" w:hRule="atLeast"/>
          <w:jc w:val="center"/>
        </w:trPr>
        <w:tc>
          <w:tcPr>
            <w:tcW w:w="1266" w:type="dxa"/>
            <w:vMerge w:val="continue"/>
            <w:tcBorders>
              <w:left w:val="single" w:color="000000" w:sz="4" w:space="0"/>
              <w:bottom w:val="single" w:color="000000" w:sz="4" w:space="0"/>
              <w:right w:val="single" w:color="000000" w:sz="4" w:space="0"/>
            </w:tcBorders>
            <w:shd w:val="clear" w:color="auto" w:fill="auto"/>
            <w:vAlign w:val="center"/>
          </w:tcPr>
          <w:p>
            <w:pPr>
              <w:pStyle w:val="6"/>
              <w:widowControl w:val="0"/>
              <w:spacing w:before="0" w:after="0"/>
              <w:jc w:val="center"/>
              <w:rPr>
                <w:rFonts w:ascii="宋体" w:hAnsi="宋体" w:eastAsia="宋体" w:cs="宋体"/>
                <w:color w:val="000000"/>
                <w:sz w:val="22"/>
              </w:rPr>
            </w:pPr>
          </w:p>
        </w:tc>
        <w:tc>
          <w:tcPr>
            <w:tcW w:w="1687" w:type="dxa"/>
            <w:vMerge w:val="continue"/>
            <w:tcBorders>
              <w:bottom w:val="single" w:color="000000" w:sz="4" w:space="0"/>
              <w:right w:val="single" w:color="000000" w:sz="4" w:space="0"/>
            </w:tcBorders>
            <w:shd w:val="clear" w:color="auto" w:fill="auto"/>
            <w:vAlign w:val="center"/>
          </w:tcPr>
          <w:p>
            <w:pPr>
              <w:pStyle w:val="6"/>
              <w:widowControl w:val="0"/>
              <w:spacing w:before="0" w:after="0"/>
              <w:jc w:val="center"/>
              <w:rPr>
                <w:rFonts w:ascii="宋体" w:hAnsi="宋体" w:eastAsia="宋体" w:cs="宋体"/>
                <w:color w:val="000000"/>
                <w:sz w:val="22"/>
              </w:rPr>
            </w:pPr>
          </w:p>
        </w:tc>
        <w:tc>
          <w:tcPr>
            <w:tcW w:w="1564" w:type="dxa"/>
            <w:tcBorders>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小计</w:t>
            </w:r>
          </w:p>
        </w:tc>
        <w:tc>
          <w:tcPr>
            <w:tcW w:w="1566" w:type="dxa"/>
            <w:tcBorders>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公务用车购置费</w:t>
            </w:r>
          </w:p>
        </w:tc>
        <w:tc>
          <w:tcPr>
            <w:tcW w:w="1564" w:type="dxa"/>
            <w:tcBorders>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公务用车运行费</w:t>
            </w:r>
          </w:p>
        </w:tc>
        <w:tc>
          <w:tcPr>
            <w:tcW w:w="1572" w:type="dxa"/>
            <w:vMerge w:val="continue"/>
            <w:tcBorders>
              <w:bottom w:val="single" w:color="000000" w:sz="4" w:space="0"/>
              <w:right w:val="single" w:color="000000" w:sz="4" w:space="0"/>
            </w:tcBorders>
            <w:shd w:val="clear" w:color="auto" w:fill="auto"/>
            <w:vAlign w:val="center"/>
          </w:tcPr>
          <w:p>
            <w:pPr>
              <w:pStyle w:val="6"/>
              <w:widowControl w:val="0"/>
              <w:spacing w:before="0" w:after="0"/>
              <w:jc w:val="center"/>
              <w:rPr>
                <w:rFonts w:ascii="宋体" w:hAnsi="宋体" w:eastAsia="宋体" w:cs="宋体"/>
                <w:color w:val="000000"/>
                <w:sz w:val="22"/>
              </w:rPr>
            </w:pPr>
          </w:p>
        </w:tc>
      </w:tr>
      <w:tr>
        <w:tblPrEx>
          <w:tblCellMar>
            <w:top w:w="15" w:type="dxa"/>
            <w:left w:w="15" w:type="dxa"/>
            <w:bottom w:w="0" w:type="dxa"/>
            <w:right w:w="15" w:type="dxa"/>
          </w:tblCellMar>
        </w:tblPrEx>
        <w:trPr>
          <w:trHeight w:val="417" w:hRule="atLeast"/>
          <w:jc w:val="center"/>
        </w:trPr>
        <w:tc>
          <w:tcPr>
            <w:tcW w:w="1266" w:type="dxa"/>
            <w:tcBorders>
              <w:left w:val="single" w:color="000000" w:sz="4" w:space="0"/>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687" w:type="dxa"/>
            <w:tcBorders>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564" w:type="dxa"/>
            <w:tcBorders>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566" w:type="dxa"/>
            <w:tcBorders>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564" w:type="dxa"/>
            <w:tcBorders>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572" w:type="dxa"/>
            <w:tcBorders>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15" w:type="dxa"/>
            <w:left w:w="15" w:type="dxa"/>
            <w:bottom w:w="0" w:type="dxa"/>
            <w:right w:w="15" w:type="dxa"/>
          </w:tblCellMar>
        </w:tblPrEx>
        <w:trPr>
          <w:trHeight w:val="417" w:hRule="atLeast"/>
          <w:jc w:val="center"/>
        </w:trPr>
        <w:tc>
          <w:tcPr>
            <w:tcW w:w="1266" w:type="dxa"/>
            <w:tcBorders>
              <w:left w:val="single" w:color="000000" w:sz="4" w:space="0"/>
              <w:bottom w:val="single" w:color="000000" w:sz="4" w:space="0"/>
              <w:right w:val="single" w:color="000000" w:sz="4" w:space="0"/>
            </w:tcBorders>
            <w:shd w:val="clear" w:color="auto" w:fill="auto"/>
            <w:vAlign w:val="center"/>
          </w:tcPr>
          <w:p>
            <w:pPr>
              <w:pStyle w:val="6"/>
              <w:widowControl w:val="0"/>
              <w:spacing w:before="0" w:after="0"/>
              <w:jc w:val="right"/>
              <w:rPr>
                <w:rFonts w:ascii="宋体" w:hAnsi="宋体" w:eastAsia="宋体" w:cs="宋体"/>
                <w:color w:val="000000"/>
                <w:sz w:val="22"/>
                <w:lang w:val="en-US" w:eastAsia="zh-CN"/>
              </w:rPr>
            </w:pPr>
            <w:r>
              <w:rPr>
                <w:rFonts w:ascii="宋体" w:hAnsi="宋体" w:eastAsia="宋体" w:cs="宋体"/>
                <w:color w:val="000000"/>
                <w:sz w:val="22"/>
                <w:lang w:val="en-US" w:eastAsia="zh-CN"/>
              </w:rPr>
              <w:t>74.67</w:t>
            </w:r>
          </w:p>
        </w:tc>
        <w:tc>
          <w:tcPr>
            <w:tcW w:w="1687" w:type="dxa"/>
            <w:tcBorders>
              <w:bottom w:val="single" w:color="000000" w:sz="4" w:space="0"/>
              <w:right w:val="single" w:color="000000" w:sz="4" w:space="0"/>
            </w:tcBorders>
            <w:shd w:val="clear" w:color="auto" w:fill="auto"/>
            <w:vAlign w:val="center"/>
          </w:tcPr>
          <w:p>
            <w:pPr>
              <w:pStyle w:val="6"/>
              <w:widowControl w:val="0"/>
              <w:spacing w:before="0" w:after="0"/>
              <w:jc w:val="right"/>
              <w:rPr>
                <w:rFonts w:ascii="宋体" w:hAnsi="宋体" w:eastAsia="宋体" w:cs="宋体"/>
                <w:color w:val="000000"/>
                <w:sz w:val="22"/>
                <w:lang w:val="en-US" w:eastAsia="zh-CN"/>
              </w:rPr>
            </w:pPr>
            <w:r>
              <w:rPr>
                <w:rFonts w:ascii="宋体" w:hAnsi="宋体" w:eastAsia="宋体" w:cs="宋体"/>
                <w:color w:val="000000"/>
                <w:sz w:val="22"/>
                <w:lang w:val="en-US" w:eastAsia="zh-CN"/>
              </w:rPr>
              <w:t>4.00</w:t>
            </w:r>
          </w:p>
        </w:tc>
        <w:tc>
          <w:tcPr>
            <w:tcW w:w="1564" w:type="dxa"/>
            <w:tcBorders>
              <w:bottom w:val="single" w:color="000000" w:sz="4" w:space="0"/>
              <w:right w:val="single" w:color="000000" w:sz="4" w:space="0"/>
            </w:tcBorders>
            <w:shd w:val="clear" w:color="auto" w:fill="auto"/>
            <w:vAlign w:val="center"/>
          </w:tcPr>
          <w:p>
            <w:pPr>
              <w:pStyle w:val="6"/>
              <w:widowControl w:val="0"/>
              <w:spacing w:before="0" w:after="0"/>
              <w:jc w:val="right"/>
              <w:rPr>
                <w:rFonts w:ascii="宋体" w:hAnsi="宋体" w:eastAsia="宋体" w:cs="宋体"/>
                <w:color w:val="000000"/>
                <w:sz w:val="22"/>
              </w:rPr>
            </w:pPr>
          </w:p>
        </w:tc>
        <w:tc>
          <w:tcPr>
            <w:tcW w:w="1566" w:type="dxa"/>
            <w:tcBorders>
              <w:bottom w:val="single" w:color="000000" w:sz="4" w:space="0"/>
              <w:right w:val="single" w:color="000000" w:sz="4" w:space="0"/>
            </w:tcBorders>
            <w:shd w:val="clear" w:color="auto" w:fill="auto"/>
            <w:vAlign w:val="center"/>
          </w:tcPr>
          <w:p>
            <w:pPr>
              <w:pStyle w:val="6"/>
              <w:widowControl w:val="0"/>
              <w:spacing w:before="0" w:after="0"/>
              <w:jc w:val="right"/>
              <w:rPr>
                <w:rFonts w:ascii="宋体" w:hAnsi="宋体" w:eastAsia="宋体" w:cs="宋体"/>
                <w:color w:val="000000"/>
                <w:sz w:val="22"/>
              </w:rPr>
            </w:pPr>
          </w:p>
        </w:tc>
        <w:tc>
          <w:tcPr>
            <w:tcW w:w="1564" w:type="dxa"/>
            <w:tcBorders>
              <w:bottom w:val="single" w:color="000000" w:sz="4" w:space="0"/>
              <w:right w:val="single" w:color="000000" w:sz="4" w:space="0"/>
            </w:tcBorders>
            <w:shd w:val="clear" w:color="auto" w:fill="auto"/>
            <w:vAlign w:val="center"/>
          </w:tcPr>
          <w:p>
            <w:pPr>
              <w:pStyle w:val="6"/>
              <w:widowControl w:val="0"/>
              <w:spacing w:before="0" w:after="0"/>
              <w:jc w:val="right"/>
              <w:rPr>
                <w:rFonts w:ascii="宋体" w:hAnsi="宋体" w:eastAsia="宋体" w:cs="宋体"/>
                <w:color w:val="000000"/>
                <w:sz w:val="22"/>
                <w:lang w:val="en-US" w:eastAsia="zh-CN"/>
              </w:rPr>
            </w:pPr>
            <w:r>
              <w:rPr>
                <w:rFonts w:ascii="宋体" w:hAnsi="宋体" w:eastAsia="宋体" w:cs="宋体"/>
                <w:color w:val="000000"/>
                <w:sz w:val="22"/>
                <w:lang w:val="en-US" w:eastAsia="zh-CN"/>
              </w:rPr>
              <w:t>69.1</w:t>
            </w:r>
          </w:p>
        </w:tc>
        <w:tc>
          <w:tcPr>
            <w:tcW w:w="1572" w:type="dxa"/>
            <w:tcBorders>
              <w:bottom w:val="single" w:color="000000" w:sz="4" w:space="0"/>
              <w:right w:val="single" w:color="000000" w:sz="4" w:space="0"/>
            </w:tcBorders>
            <w:shd w:val="clear" w:color="auto" w:fill="auto"/>
            <w:vAlign w:val="center"/>
          </w:tcPr>
          <w:p>
            <w:pPr>
              <w:pStyle w:val="6"/>
              <w:widowControl w:val="0"/>
              <w:spacing w:before="0" w:after="0"/>
              <w:jc w:val="right"/>
              <w:rPr>
                <w:rFonts w:ascii="宋体" w:hAnsi="宋体" w:eastAsia="宋体" w:cs="宋体"/>
                <w:color w:val="000000"/>
                <w:sz w:val="22"/>
                <w:lang w:val="en-US" w:eastAsia="zh-CN"/>
              </w:rPr>
            </w:pPr>
            <w:r>
              <w:rPr>
                <w:rFonts w:ascii="宋体" w:hAnsi="宋体" w:eastAsia="宋体" w:cs="宋体"/>
                <w:color w:val="000000"/>
                <w:sz w:val="22"/>
                <w:lang w:val="en-US" w:eastAsia="zh-CN"/>
              </w:rPr>
              <w:t>1.57</w:t>
            </w:r>
          </w:p>
        </w:tc>
      </w:tr>
      <w:tr>
        <w:tblPrEx>
          <w:tblCellMar>
            <w:top w:w="15" w:type="dxa"/>
            <w:left w:w="15" w:type="dxa"/>
            <w:bottom w:w="0" w:type="dxa"/>
            <w:right w:w="15" w:type="dxa"/>
          </w:tblCellMar>
        </w:tblPrEx>
        <w:trPr>
          <w:trHeight w:val="417" w:hRule="atLeast"/>
          <w:jc w:val="center"/>
        </w:trPr>
        <w:tc>
          <w:tcPr>
            <w:tcW w:w="9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决算数</w:t>
            </w:r>
          </w:p>
        </w:tc>
      </w:tr>
      <w:tr>
        <w:tblPrEx>
          <w:tblCellMar>
            <w:top w:w="15" w:type="dxa"/>
            <w:left w:w="15" w:type="dxa"/>
            <w:bottom w:w="0" w:type="dxa"/>
            <w:right w:w="15" w:type="dxa"/>
          </w:tblCellMar>
        </w:tblPrEx>
        <w:trPr>
          <w:trHeight w:val="417" w:hRule="atLeast"/>
          <w:jc w:val="center"/>
        </w:trPr>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合计</w:t>
            </w:r>
          </w:p>
        </w:tc>
        <w:tc>
          <w:tcPr>
            <w:tcW w:w="1687" w:type="dxa"/>
            <w:vMerge w:val="restart"/>
            <w:tcBorders>
              <w:top w:val="single" w:color="000000" w:sz="4" w:space="0"/>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因公出国（境）费</w:t>
            </w:r>
          </w:p>
        </w:tc>
        <w:tc>
          <w:tcPr>
            <w:tcW w:w="4694" w:type="dxa"/>
            <w:gridSpan w:val="3"/>
            <w:tcBorders>
              <w:top w:val="single" w:color="000000" w:sz="4" w:space="0"/>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公务用车购置及运行费</w:t>
            </w:r>
          </w:p>
        </w:tc>
        <w:tc>
          <w:tcPr>
            <w:tcW w:w="1572" w:type="dxa"/>
            <w:vMerge w:val="restart"/>
            <w:tcBorders>
              <w:top w:val="single" w:color="000000" w:sz="4" w:space="0"/>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公务接待费</w:t>
            </w:r>
          </w:p>
        </w:tc>
      </w:tr>
      <w:tr>
        <w:tblPrEx>
          <w:tblCellMar>
            <w:top w:w="15" w:type="dxa"/>
            <w:left w:w="15" w:type="dxa"/>
            <w:bottom w:w="0" w:type="dxa"/>
            <w:right w:w="15" w:type="dxa"/>
          </w:tblCellMar>
        </w:tblPrEx>
        <w:trPr>
          <w:trHeight w:val="417" w:hRule="atLeast"/>
          <w:jc w:val="center"/>
        </w:trPr>
        <w:tc>
          <w:tcPr>
            <w:tcW w:w="1266" w:type="dxa"/>
            <w:vMerge w:val="continue"/>
            <w:tcBorders>
              <w:left w:val="single" w:color="000000" w:sz="4" w:space="0"/>
              <w:bottom w:val="single" w:color="000000" w:sz="4" w:space="0"/>
              <w:right w:val="single" w:color="000000" w:sz="4" w:space="0"/>
            </w:tcBorders>
            <w:shd w:val="clear" w:color="auto" w:fill="auto"/>
            <w:vAlign w:val="center"/>
          </w:tcPr>
          <w:p>
            <w:pPr>
              <w:pStyle w:val="6"/>
              <w:widowControl w:val="0"/>
              <w:spacing w:before="0" w:after="0"/>
              <w:jc w:val="center"/>
              <w:rPr>
                <w:rFonts w:ascii="宋体" w:hAnsi="宋体" w:eastAsia="宋体" w:cs="宋体"/>
                <w:color w:val="000000"/>
                <w:sz w:val="22"/>
              </w:rPr>
            </w:pPr>
          </w:p>
        </w:tc>
        <w:tc>
          <w:tcPr>
            <w:tcW w:w="1687" w:type="dxa"/>
            <w:vMerge w:val="continue"/>
            <w:tcBorders>
              <w:bottom w:val="single" w:color="000000" w:sz="4" w:space="0"/>
              <w:right w:val="single" w:color="000000" w:sz="4" w:space="0"/>
            </w:tcBorders>
            <w:shd w:val="clear" w:color="auto" w:fill="auto"/>
            <w:vAlign w:val="center"/>
          </w:tcPr>
          <w:p>
            <w:pPr>
              <w:pStyle w:val="6"/>
              <w:widowControl w:val="0"/>
              <w:spacing w:before="0" w:after="0"/>
              <w:jc w:val="center"/>
              <w:rPr>
                <w:rFonts w:ascii="宋体" w:hAnsi="宋体" w:eastAsia="宋体" w:cs="宋体"/>
                <w:color w:val="000000"/>
                <w:sz w:val="22"/>
              </w:rPr>
            </w:pPr>
          </w:p>
        </w:tc>
        <w:tc>
          <w:tcPr>
            <w:tcW w:w="1564" w:type="dxa"/>
            <w:tcBorders>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小计</w:t>
            </w:r>
          </w:p>
        </w:tc>
        <w:tc>
          <w:tcPr>
            <w:tcW w:w="1566" w:type="dxa"/>
            <w:tcBorders>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公务用车购置费</w:t>
            </w:r>
          </w:p>
        </w:tc>
        <w:tc>
          <w:tcPr>
            <w:tcW w:w="1564" w:type="dxa"/>
            <w:tcBorders>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公务用车运行费</w:t>
            </w:r>
          </w:p>
        </w:tc>
        <w:tc>
          <w:tcPr>
            <w:tcW w:w="1572" w:type="dxa"/>
            <w:vMerge w:val="continue"/>
            <w:tcBorders>
              <w:bottom w:val="single" w:color="000000" w:sz="4" w:space="0"/>
              <w:right w:val="single" w:color="000000" w:sz="4" w:space="0"/>
            </w:tcBorders>
            <w:shd w:val="clear" w:color="auto" w:fill="auto"/>
            <w:vAlign w:val="center"/>
          </w:tcPr>
          <w:p>
            <w:pPr>
              <w:pStyle w:val="6"/>
              <w:widowControl w:val="0"/>
              <w:spacing w:before="0" w:after="0"/>
              <w:jc w:val="center"/>
              <w:rPr>
                <w:rFonts w:ascii="宋体" w:hAnsi="宋体" w:eastAsia="宋体" w:cs="宋体"/>
                <w:color w:val="000000"/>
                <w:sz w:val="22"/>
              </w:rPr>
            </w:pPr>
          </w:p>
        </w:tc>
      </w:tr>
      <w:tr>
        <w:tblPrEx>
          <w:tblCellMar>
            <w:top w:w="15" w:type="dxa"/>
            <w:left w:w="15" w:type="dxa"/>
            <w:bottom w:w="0" w:type="dxa"/>
            <w:right w:w="15" w:type="dxa"/>
          </w:tblCellMar>
        </w:tblPrEx>
        <w:trPr>
          <w:trHeight w:val="417" w:hRule="atLeast"/>
          <w:jc w:val="center"/>
        </w:trPr>
        <w:tc>
          <w:tcPr>
            <w:tcW w:w="1266" w:type="dxa"/>
            <w:tcBorders>
              <w:left w:val="single" w:color="000000" w:sz="4" w:space="0"/>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1687" w:type="dxa"/>
            <w:tcBorders>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1564" w:type="dxa"/>
            <w:tcBorders>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1566" w:type="dxa"/>
            <w:tcBorders>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1564" w:type="dxa"/>
            <w:tcBorders>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1572" w:type="dxa"/>
            <w:tcBorders>
              <w:bottom w:val="single" w:color="000000" w:sz="4" w:space="0"/>
              <w:right w:val="single" w:color="000000" w:sz="4" w:space="0"/>
            </w:tcBorders>
            <w:shd w:val="clear" w:color="auto" w:fill="auto"/>
            <w:vAlign w:val="center"/>
          </w:tcPr>
          <w:p>
            <w:pPr>
              <w:pStyle w:val="6"/>
              <w:widowControl w:val="0"/>
              <w:spacing w:before="0" w:after="0"/>
              <w:jc w:val="center"/>
              <w:textAlignment w:val="center"/>
              <w:rPr>
                <w:rFonts w:ascii="宋体" w:hAnsi="宋体" w:eastAsia="宋体" w:cs="宋体"/>
                <w:color w:val="000000"/>
                <w:sz w:val="22"/>
              </w:rPr>
            </w:pPr>
            <w:r>
              <w:rPr>
                <w:rFonts w:ascii="宋体" w:hAnsi="宋体" w:eastAsia="宋体" w:cs="宋体"/>
                <w:color w:val="000000"/>
                <w:kern w:val="0"/>
                <w:sz w:val="22"/>
              </w:rPr>
              <w:t>12</w:t>
            </w:r>
          </w:p>
        </w:tc>
      </w:tr>
      <w:tr>
        <w:tblPrEx>
          <w:tblCellMar>
            <w:top w:w="15" w:type="dxa"/>
            <w:left w:w="15" w:type="dxa"/>
            <w:bottom w:w="0" w:type="dxa"/>
            <w:right w:w="15" w:type="dxa"/>
          </w:tblCellMar>
        </w:tblPrEx>
        <w:trPr>
          <w:trHeight w:val="447" w:hRule="atLeast"/>
          <w:jc w:val="center"/>
        </w:trPr>
        <w:tc>
          <w:tcPr>
            <w:tcW w:w="1266" w:type="dxa"/>
            <w:tcBorders>
              <w:left w:val="single" w:color="000000" w:sz="4" w:space="0"/>
              <w:bottom w:val="single" w:color="000000" w:sz="4" w:space="0"/>
              <w:right w:val="single" w:color="000000" w:sz="4" w:space="0"/>
            </w:tcBorders>
            <w:shd w:val="clear" w:color="auto" w:fill="auto"/>
            <w:vAlign w:val="center"/>
          </w:tcPr>
          <w:p>
            <w:pPr>
              <w:pStyle w:val="6"/>
              <w:widowControl w:val="0"/>
              <w:spacing w:before="0" w:after="0"/>
              <w:jc w:val="right"/>
              <w:rPr>
                <w:rFonts w:ascii="宋体" w:hAnsi="宋体" w:eastAsia="宋体" w:cs="宋体"/>
                <w:color w:val="000000"/>
                <w:sz w:val="22"/>
                <w:lang w:val="en-US" w:eastAsia="zh-CN"/>
              </w:rPr>
            </w:pPr>
            <w:r>
              <w:rPr>
                <w:rFonts w:ascii="宋体" w:hAnsi="宋体" w:eastAsia="宋体" w:cs="宋体"/>
                <w:color w:val="000000"/>
                <w:sz w:val="22"/>
                <w:lang w:val="en-US" w:eastAsia="zh-CN"/>
              </w:rPr>
              <w:t>52.77</w:t>
            </w:r>
          </w:p>
        </w:tc>
        <w:tc>
          <w:tcPr>
            <w:tcW w:w="1687" w:type="dxa"/>
            <w:tcBorders>
              <w:bottom w:val="single" w:color="000000" w:sz="4" w:space="0"/>
              <w:right w:val="single" w:color="000000" w:sz="4" w:space="0"/>
            </w:tcBorders>
            <w:shd w:val="clear" w:color="auto" w:fill="auto"/>
            <w:vAlign w:val="center"/>
          </w:tcPr>
          <w:p>
            <w:pPr>
              <w:pStyle w:val="6"/>
              <w:widowControl w:val="0"/>
              <w:spacing w:before="0" w:after="0"/>
              <w:jc w:val="right"/>
              <w:rPr>
                <w:rFonts w:ascii="宋体" w:hAnsi="宋体" w:eastAsia="宋体" w:cs="宋体"/>
                <w:color w:val="000000"/>
                <w:sz w:val="22"/>
                <w:lang w:val="en-US" w:eastAsia="zh-CN"/>
              </w:rPr>
            </w:pPr>
            <w:r>
              <w:rPr>
                <w:rFonts w:ascii="宋体" w:hAnsi="宋体" w:eastAsia="宋体" w:cs="宋体"/>
                <w:color w:val="000000"/>
                <w:sz w:val="22"/>
                <w:lang w:val="en-US" w:eastAsia="zh-CN"/>
              </w:rPr>
              <w:t>1.38</w:t>
            </w:r>
          </w:p>
        </w:tc>
        <w:tc>
          <w:tcPr>
            <w:tcW w:w="1564" w:type="dxa"/>
            <w:tcBorders>
              <w:bottom w:val="single" w:color="000000" w:sz="4" w:space="0"/>
              <w:right w:val="single" w:color="000000" w:sz="4" w:space="0"/>
            </w:tcBorders>
            <w:shd w:val="clear" w:color="auto" w:fill="auto"/>
            <w:vAlign w:val="center"/>
          </w:tcPr>
          <w:p>
            <w:pPr>
              <w:pStyle w:val="6"/>
              <w:widowControl w:val="0"/>
              <w:spacing w:before="0" w:after="0"/>
              <w:jc w:val="right"/>
              <w:rPr>
                <w:rFonts w:ascii="宋体" w:hAnsi="宋体" w:eastAsia="宋体" w:cs="宋体"/>
                <w:color w:val="000000"/>
                <w:sz w:val="22"/>
              </w:rPr>
            </w:pPr>
          </w:p>
        </w:tc>
        <w:tc>
          <w:tcPr>
            <w:tcW w:w="1566" w:type="dxa"/>
            <w:tcBorders>
              <w:bottom w:val="single" w:color="000000" w:sz="4" w:space="0"/>
              <w:right w:val="single" w:color="000000" w:sz="4" w:space="0"/>
            </w:tcBorders>
            <w:shd w:val="clear" w:color="auto" w:fill="auto"/>
            <w:vAlign w:val="center"/>
          </w:tcPr>
          <w:p>
            <w:pPr>
              <w:pStyle w:val="6"/>
              <w:widowControl w:val="0"/>
              <w:spacing w:before="0" w:after="0"/>
              <w:jc w:val="right"/>
              <w:rPr>
                <w:rFonts w:ascii="宋体" w:hAnsi="宋体" w:eastAsia="宋体" w:cs="宋体"/>
                <w:color w:val="000000"/>
                <w:sz w:val="22"/>
              </w:rPr>
            </w:pPr>
          </w:p>
        </w:tc>
        <w:tc>
          <w:tcPr>
            <w:tcW w:w="1564" w:type="dxa"/>
            <w:tcBorders>
              <w:bottom w:val="single" w:color="000000" w:sz="4" w:space="0"/>
              <w:right w:val="single" w:color="000000" w:sz="4" w:space="0"/>
            </w:tcBorders>
            <w:shd w:val="clear" w:color="auto" w:fill="auto"/>
            <w:vAlign w:val="center"/>
          </w:tcPr>
          <w:p>
            <w:pPr>
              <w:pStyle w:val="6"/>
              <w:widowControl w:val="0"/>
              <w:spacing w:before="0" w:after="0"/>
              <w:jc w:val="right"/>
              <w:rPr>
                <w:rFonts w:ascii="宋体" w:hAnsi="宋体" w:eastAsia="宋体" w:cs="宋体"/>
                <w:color w:val="000000"/>
                <w:sz w:val="22"/>
                <w:lang w:val="en-US" w:eastAsia="zh-CN"/>
              </w:rPr>
            </w:pPr>
            <w:r>
              <w:rPr>
                <w:rFonts w:ascii="宋体" w:hAnsi="宋体" w:eastAsia="宋体" w:cs="宋体"/>
                <w:color w:val="000000"/>
                <w:sz w:val="22"/>
                <w:lang w:val="en-US" w:eastAsia="zh-CN"/>
              </w:rPr>
              <w:t>50.45</w:t>
            </w:r>
          </w:p>
        </w:tc>
        <w:tc>
          <w:tcPr>
            <w:tcW w:w="1572" w:type="dxa"/>
            <w:tcBorders>
              <w:bottom w:val="single" w:color="000000" w:sz="4" w:space="0"/>
              <w:right w:val="single" w:color="000000" w:sz="4" w:space="0"/>
            </w:tcBorders>
            <w:shd w:val="clear" w:color="auto" w:fill="auto"/>
            <w:vAlign w:val="center"/>
          </w:tcPr>
          <w:p>
            <w:pPr>
              <w:pStyle w:val="6"/>
              <w:widowControl w:val="0"/>
              <w:spacing w:before="0" w:after="0"/>
              <w:jc w:val="right"/>
              <w:rPr>
                <w:rFonts w:ascii="宋体" w:hAnsi="宋体" w:eastAsia="宋体" w:cs="宋体"/>
                <w:color w:val="000000"/>
                <w:sz w:val="22"/>
                <w:lang w:val="en-US" w:eastAsia="zh-CN"/>
              </w:rPr>
            </w:pPr>
            <w:r>
              <w:rPr>
                <w:rFonts w:ascii="宋体" w:hAnsi="宋体" w:eastAsia="宋体" w:cs="宋体"/>
                <w:color w:val="000000"/>
                <w:sz w:val="22"/>
                <w:lang w:val="en-US" w:eastAsia="zh-CN"/>
              </w:rPr>
              <w:t>0.94</w:t>
            </w:r>
          </w:p>
        </w:tc>
      </w:tr>
    </w:tbl>
    <w:p>
      <w:pPr>
        <w:pStyle w:val="6"/>
        <w:rPr>
          <w:rFonts w:ascii="宋体" w:hAnsi="宋体" w:eastAsia="宋体" w:cs="MS-UIGothic,Bold"/>
          <w:b/>
          <w:bCs/>
          <w:kern w:val="0"/>
          <w:sz w:val="44"/>
          <w:szCs w:val="44"/>
        </w:rPr>
      </w:pPr>
      <w:r>
        <w:rPr>
          <w:rFonts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hAnsi="仿宋_GB2312" w:eastAsia="仿宋_GB2312" w:cs="仿宋_GB2312"/>
        </w:rPr>
        <w:tab/>
      </w:r>
      <w:r>
        <w:tab/>
      </w: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r>
        <w:tab/>
      </w:r>
      <w:r>
        <w:tab/>
      </w:r>
      <w:r>
        <w:tab/>
      </w:r>
      <w:r>
        <w:tab/>
      </w:r>
      <w:r>
        <w:tab/>
      </w:r>
      <w:r>
        <w:tab/>
      </w:r>
      <w:r>
        <w:tab/>
      </w:r>
      <w:r>
        <w:tab/>
      </w:r>
    </w:p>
    <w:p>
      <w:pPr>
        <w:pStyle w:val="6"/>
        <w:rPr>
          <w:rFonts w:ascii="宋体" w:hAnsi="宋体" w:eastAsia="宋体" w:cs="MS-UIGothic,Bold"/>
          <w:b/>
          <w:bCs/>
          <w:kern w:val="0"/>
          <w:sz w:val="44"/>
          <w:szCs w:val="44"/>
        </w:rPr>
      </w:pPr>
      <w:r>
        <w:object>
          <v:shape id="_x0000_i1033" o:spt="75" type="#_x0000_t75" style="height:111.25pt;width:453.15pt;" o:ole="t" filled="f" coordsize="21600,21600">
            <v:path/>
            <v:fill on="f" focussize="0,0"/>
            <v:stroke/>
            <v:imagedata r:id="rId34" o:title=""/>
            <o:lock v:ext="edit" aspectratio="t"/>
            <w10:wrap type="none"/>
            <w10:anchorlock/>
          </v:shape>
          <o:OLEObject Type="Embed" ProgID="Excel.Sheet.12" ShapeID="_x0000_i1033" DrawAspect="Content" ObjectID="_1468075732" r:id="rId33">
            <o:LockedField>false</o:LockedField>
          </o:OLEObject>
        </w:object>
      </w:r>
      <w:r>
        <w:tab/>
      </w:r>
      <w:r>
        <w:br w:type="page"/>
      </w: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r>
        <w:object>
          <v:shape id="_x0000_i1034" o:spt="75" type="#_x0000_t75" style="height:126.05pt;width:453.35pt;" o:ole="t" filled="f" coordsize="21600,21600">
            <v:path/>
            <v:fill on="f" focussize="0,0"/>
            <v:stroke/>
            <v:imagedata r:id="rId36" o:title=""/>
            <o:lock v:ext="edit" aspectratio="t"/>
            <w10:wrap type="none"/>
            <w10:anchorlock/>
          </v:shape>
          <o:OLEObject Type="Embed" ProgID="Excel.Sheet.12" ShapeID="_x0000_i1034" DrawAspect="Content" ObjectID="_1468075733" r:id="rId35">
            <o:LockedField>false</o:LockedField>
          </o:OLEObject>
        </w:object>
      </w: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r>
        <w:object>
          <v:shape id="_x0000_i1035" o:spt="75" type="#_x0000_t75" style="height:408pt;width:453.15pt;" o:ole="t" filled="f" coordsize="21600,21600">
            <v:path/>
            <v:fill on="f" focussize="0,0"/>
            <v:stroke/>
            <v:imagedata r:id="rId38" o:title=""/>
            <o:lock v:ext="edit" aspectratio="t"/>
            <w10:wrap type="none"/>
            <w10:anchorlock/>
          </v:shape>
          <o:OLEObject Type="Embed" ProgID="Excel.Sheet.12" ShapeID="_x0000_i1035" DrawAspect="Content" ObjectID="_1468075734" r:id="rId37">
            <o:LockedField>false</o:LockedField>
          </o:OLEObject>
        </w:object>
      </w: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r>
        <w:object>
          <v:shape id="_x0000_i1036" o:spt="75" type="#_x0000_t75" style="height:487.45pt;width:453.1pt;" o:ole="t" filled="f" coordsize="21600,21600">
            <v:path/>
            <v:fill on="f" focussize="0,0"/>
            <v:stroke/>
            <v:imagedata r:id="rId40" o:title=""/>
            <o:lock v:ext="edit" aspectratio="t"/>
            <w10:wrap type="none"/>
            <w10:anchorlock/>
          </v:shape>
          <o:OLEObject Type="Embed" ProgID="Excel.Sheet.12" ShapeID="_x0000_i1036" DrawAspect="Content" ObjectID="_1468075735" r:id="rId39">
            <o:LockedField>false</o:LockedField>
          </o:OLEObject>
        </w:object>
      </w:r>
    </w:p>
    <w:p>
      <w:pPr>
        <w:pStyle w:val="6"/>
        <w:rPr>
          <w:rFonts w:ascii="宋体" w:hAnsi="宋体" w:eastAsia="宋体" w:cs="MS-UIGothic,Bold"/>
          <w:b/>
          <w:bCs/>
          <w:kern w:val="0"/>
          <w:sz w:val="44"/>
          <w:szCs w:val="44"/>
        </w:rPr>
      </w:pPr>
      <w:r>
        <mc:AlternateContent>
          <mc:Choice Requires="wps">
            <w:drawing>
              <wp:anchor distT="0" distB="0" distL="0" distR="0" simplePos="0" relativeHeight="251659264" behindDoc="0" locked="0" layoutInCell="0" allowOverlap="1">
                <wp:simplePos x="0" y="0"/>
                <wp:positionH relativeFrom="column">
                  <wp:posOffset>7534275</wp:posOffset>
                </wp:positionH>
                <wp:positionV relativeFrom="paragraph">
                  <wp:posOffset>273685</wp:posOffset>
                </wp:positionV>
                <wp:extent cx="7558405" cy="10683240"/>
                <wp:effectExtent l="0" t="0" r="5080" b="4445"/>
                <wp:wrapNone/>
                <wp:docPr id="48" name="矩形 40"/>
                <wp:cNvGraphicFramePr/>
                <a:graphic xmlns:a="http://schemas.openxmlformats.org/drawingml/2006/main">
                  <a:graphicData uri="http://schemas.microsoft.com/office/word/2010/wordprocessingShape">
                    <wps:wsp>
                      <wps:cNvSpPr/>
                      <wps:spPr>
                        <a:xfrm>
                          <a:off x="0" y="0"/>
                          <a:ext cx="7557840" cy="10682640"/>
                        </a:xfrm>
                        <a:prstGeom prst="rect">
                          <a:avLst/>
                        </a:prstGeom>
                        <a:solidFill>
                          <a:srgbClr val="FFC000"/>
                        </a:solidFill>
                        <a:ln w="12700">
                          <a:noFill/>
                        </a:ln>
                      </wps:spPr>
                      <wps:style>
                        <a:lnRef idx="0">
                          <a:srgbClr val="FFFFFF"/>
                        </a:lnRef>
                        <a:fillRef idx="0">
                          <a:srgbClr val="FFFFFF"/>
                        </a:fillRef>
                        <a:effectRef idx="0">
                          <a:srgbClr val="FFFFFF"/>
                        </a:effectRef>
                        <a:fontRef idx="minor"/>
                      </wps:style>
                      <wps:bodyPr/>
                    </wps:wsp>
                  </a:graphicData>
                </a:graphic>
              </wp:anchor>
            </w:drawing>
          </mc:Choice>
          <mc:Fallback>
            <w:pict>
              <v:rect id="矩形 40" o:spid="_x0000_s1026" o:spt="1" style="position:absolute;left:0pt;margin-left:593.25pt;margin-top:21.55pt;height:841.2pt;width:595.15pt;z-index:251659264;mso-width-relative:page;mso-height-relative:page;" fillcolor="#FFC000" filled="t" stroked="f" coordsize="21600,21600" o:allowincell="f" o:gfxdata="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2Jqc2QAAAA0BAAAPAAAAAAAAAAEAIAAAACIAAABkcnMvZG93bnJldi54bWxQSwECFAAUAAAA&#10;CACHTuJAVfHIZLQBAABhAwAADgAAAAAAAAABACAAAAAoAQAAZHJzL2Uyb0RvYy54bWxQSwUGAAAA&#10;AAYABgBZAQAATgUAAAAA&#10;">
                <v:fill on="t" focussize="0,0"/>
                <v:stroke on="f" weight="1pt"/>
                <v:imagedata o:title=""/>
                <o:lock v:ext="edit" aspectratio="f"/>
              </v:rect>
            </w:pict>
          </mc:Fallback>
        </mc:AlternateContent>
      </w:r>
    </w:p>
    <w:p>
      <w:pPr>
        <w:pStyle w:val="6"/>
        <w:rPr>
          <w:rFonts w:ascii="宋体" w:hAnsi="宋体" w:eastAsia="宋体" w:cs="MS-UIGothic,Bold"/>
          <w:b/>
          <w:bCs/>
          <w:kern w:val="0"/>
          <w:sz w:val="44"/>
          <w:szCs w:val="44"/>
        </w:rPr>
      </w:pPr>
    </w:p>
    <w:p>
      <w:pPr>
        <w:pStyle w:val="6"/>
        <w:rPr>
          <w:rFonts w:ascii="宋体" w:hAnsi="宋体" w:eastAsia="宋体" w:cs="MS-UIGothic,Bold"/>
          <w:b/>
          <w:bCs/>
          <w:kern w:val="0"/>
          <w:sz w:val="44"/>
          <w:szCs w:val="44"/>
        </w:rPr>
      </w:pPr>
    </w:p>
    <w:sectPr>
      <w:headerReference r:id="rId12" w:type="default"/>
      <w:footerReference r:id="rId13" w:type="default"/>
      <w:pgSz w:w="11906" w:h="16838"/>
      <w:pgMar w:top="1701" w:right="1417" w:bottom="1281" w:left="1417" w:header="851" w:footer="992" w:gutter="0"/>
      <w:pgNumType w:fmt="decimal"/>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思源黑体 HW Bold">
    <w:altName w:val="黑体"/>
    <w:panose1 w:val="00000000000000000000"/>
    <w:charset w:val="86"/>
    <w:family w:val="auto"/>
    <w:pitch w:val="default"/>
    <w:sig w:usb0="00000000" w:usb1="00000000" w:usb2="00000000" w:usb3="00000000" w:csb0="00000000" w:csb1="00000000"/>
  </w:font>
  <w:font w:name="楷体_GB2312">
    <w:panose1 w:val="02010609030101010101"/>
    <w:charset w:val="86"/>
    <w:family w:val="roman"/>
    <w:pitch w:val="default"/>
    <w:sig w:usb0="00000000" w:usb1="00000000" w:usb2="00000000" w:usb3="00000000" w:csb0="00000000" w:csb1="00000000"/>
  </w:font>
  <w:font w:name="Yu Gothic UI Semibold">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DengXia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ngXian-Bold">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MS-UIGothic,Bold">
    <w:altName w:val="Segoe Print"/>
    <w:panose1 w:val="00000000000000000000"/>
    <w:charset w:val="00"/>
    <w:family w:val="auto"/>
    <w:pitch w:val="default"/>
    <w:sig w:usb0="00000000" w:usb1="00000000" w:usb2="00000000" w:usb3="00000000" w:csb0="00000000" w:csb1="00000000"/>
  </w:font>
  <w:font w:name="ArialUnicodeMS">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1" locked="0" layoutInCell="0" allowOverlap="1">
              <wp:simplePos x="0" y="0"/>
              <wp:positionH relativeFrom="margin">
                <wp:posOffset>2662555</wp:posOffset>
              </wp:positionH>
              <wp:positionV relativeFrom="paragraph">
                <wp:posOffset>-164465</wp:posOffset>
              </wp:positionV>
              <wp:extent cx="389255" cy="182245"/>
              <wp:effectExtent l="0" t="0" r="0" b="0"/>
              <wp:wrapNone/>
              <wp:docPr id="35" name="文本框 2"/>
              <wp:cNvGraphicFramePr/>
              <a:graphic xmlns:a="http://schemas.openxmlformats.org/drawingml/2006/main">
                <a:graphicData uri="http://schemas.microsoft.com/office/word/2010/wordprocessingShape">
                  <wps:wsp>
                    <wps:cNvSpPr/>
                    <wps:spPr>
                      <a:xfrm>
                        <a:off x="0" y="0"/>
                        <a:ext cx="388800" cy="181440"/>
                      </a:xfrm>
                      <a:prstGeom prst="rect">
                        <a:avLst/>
                      </a:prstGeom>
                      <a:noFill/>
                      <a:ln w="6350">
                        <a:noFill/>
                      </a:ln>
                    </wps:spPr>
                    <wps:style>
                      <a:lnRef idx="0">
                        <a:srgbClr val="FFFFFF"/>
                      </a:lnRef>
                      <a:fillRef idx="0">
                        <a:srgbClr val="FFFFFF"/>
                      </a:fillRef>
                      <a:effectRef idx="0">
                        <a:srgbClr val="FFFFFF"/>
                      </a:effectRef>
                      <a:fontRef idx="minor"/>
                    </wps:style>
                    <wps:txbx>
                      <w:txbxContent>
                        <w:p>
                          <w:pPr>
                            <w:pStyle w:val="9"/>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p>
                      </w:txbxContent>
                    </wps:txbx>
                    <wps:bodyPr lIns="0" tIns="0" rIns="0" bIns="0">
                      <a:noAutofit/>
                    </wps:bodyPr>
                  </wps:wsp>
                </a:graphicData>
              </a:graphic>
            </wp:anchor>
          </w:drawing>
        </mc:Choice>
        <mc:Fallback>
          <w:pict>
            <v:rect id="文本框 2" o:spid="_x0000_s1026" o:spt="1" style="position:absolute;left:0pt;margin-left:209.65pt;margin-top:-12.95pt;height:14.35pt;width:30.65pt;mso-position-horizontal-relative:margin;z-index:-251657216;mso-width-relative:page;mso-height-relative:page;" filled="f" stroked="f" coordsize="21600,21600" o:allowincell="f" o:gfxdata="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Ok1EtkAAAAJAQAADwAAAAAAAAABACAAAAAiAAAAZHJzL2Rvd25yZXYu&#10;eG1sUEsBAhQAFAAAAAgAh07iQCEGIv7BAQAAfwMAAA4AAAAAAAAAAQAgAAAAKAEAAGRycy9lMm9E&#10;b2MueG1sUEsFBgAAAAAGAAYAWQEAAFsFAAAAAA==&#10;">
              <v:fill on="f" focussize="0,0"/>
              <v:stroke on="f" weight="0.5pt"/>
              <v:imagedata o:title=""/>
              <o:lock v:ext="edit" aspectratio="f"/>
              <v:textbox inset="0mm,0mm,0mm,0mm">
                <w:txbxContent>
                  <w:p>
                    <w:pPr>
                      <w:pStyle w:val="9"/>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1" locked="0" layoutInCell="0" allowOverlap="1">
              <wp:simplePos x="0" y="0"/>
              <wp:positionH relativeFrom="margin">
                <wp:posOffset>2656205</wp:posOffset>
              </wp:positionH>
              <wp:positionV relativeFrom="paragraph">
                <wp:posOffset>-76200</wp:posOffset>
              </wp:positionV>
              <wp:extent cx="1829435" cy="238125"/>
              <wp:effectExtent l="0" t="0" r="0" b="0"/>
              <wp:wrapNone/>
              <wp:docPr id="44" name="文本框 5"/>
              <wp:cNvGraphicFramePr/>
              <a:graphic xmlns:a="http://schemas.openxmlformats.org/drawingml/2006/main">
                <a:graphicData uri="http://schemas.microsoft.com/office/word/2010/wordprocessingShape">
                  <wps:wsp>
                    <wps:cNvSpPr/>
                    <wps:spPr>
                      <a:xfrm>
                        <a:off x="0" y="0"/>
                        <a:ext cx="1828800" cy="237600"/>
                      </a:xfrm>
                      <a:prstGeom prst="rect">
                        <a:avLst/>
                      </a:prstGeom>
                      <a:noFill/>
                      <a:ln w="6350">
                        <a:noFill/>
                      </a:ln>
                    </wps:spPr>
                    <wps:style>
                      <a:lnRef idx="0">
                        <a:srgbClr val="FFFFFF"/>
                      </a:lnRef>
                      <a:fillRef idx="0">
                        <a:srgbClr val="FFFFFF"/>
                      </a:fillRef>
                      <a:effectRef idx="0">
                        <a:srgbClr val="FFFFFF"/>
                      </a:effectRef>
                      <a:fontRef idx="minor"/>
                    </wps:style>
                    <wps:txbx>
                      <w:txbxContent>
                        <w:p>
                          <w:pPr>
                            <w:pStyle w:val="9"/>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p>
                      </w:txbxContent>
                    </wps:txbx>
                    <wps:bodyPr lIns="0" tIns="0" rIns="0" bIns="0">
                      <a:noAutofit/>
                    </wps:bodyPr>
                  </wps:wsp>
                </a:graphicData>
              </a:graphic>
            </wp:anchor>
          </w:drawing>
        </mc:Choice>
        <mc:Fallback>
          <w:pict>
            <v:rect id="文本框 5" o:spid="_x0000_s1026" o:spt="1" style="position:absolute;left:0pt;margin-left:209.15pt;margin-top:-6pt;height:18.75pt;width:144.05pt;mso-position-horizontal-relative:margin;z-index:-251657216;mso-width-relative:page;mso-height-relative:page;" filled="f" stroked="f" coordsize="21600,21600" o:allowincell="f" o:gfxdata="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Dq5QLZAAAACgEAAA8AAAAAAAAAAQAgAAAAIgAAAGRycy9kb3ducmV2&#10;LnhtbFBLAQIUABQAAAAIAIdO4kCEPbg9wgEAAIADAAAOAAAAAAAAAAEAIAAAACgBAABkcnMvZTJv&#10;RG9jLnhtbFBLBQYAAAAABgAGAFkBAABcBQAAAAA=&#10;">
              <v:fill on="f" focussize="0,0"/>
              <v:stroke on="f" weight="0.5pt"/>
              <v:imagedata o:title=""/>
              <o:lock v:ext="edit" aspectratio="f"/>
              <v:textbox inset="0mm,0mm,0mm,0mm">
                <w:txbxContent>
                  <w:p>
                    <w:pPr>
                      <w:pStyle w:val="9"/>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1" locked="0" layoutInCell="0" allowOverlap="1">
              <wp:simplePos x="0" y="0"/>
              <wp:positionH relativeFrom="margin">
                <wp:posOffset>2609215</wp:posOffset>
              </wp:positionH>
              <wp:positionV relativeFrom="paragraph">
                <wp:posOffset>-238125</wp:posOffset>
              </wp:positionV>
              <wp:extent cx="383540" cy="400050"/>
              <wp:effectExtent l="0" t="0" r="0" b="0"/>
              <wp:wrapNone/>
              <wp:docPr id="45" name="文本框 14"/>
              <wp:cNvGraphicFramePr/>
              <a:graphic xmlns:a="http://schemas.openxmlformats.org/drawingml/2006/main">
                <a:graphicData uri="http://schemas.microsoft.com/office/word/2010/wordprocessingShape">
                  <wps:wsp>
                    <wps:cNvSpPr/>
                    <wps:spPr>
                      <a:xfrm>
                        <a:off x="0" y="0"/>
                        <a:ext cx="383040" cy="399240"/>
                      </a:xfrm>
                      <a:prstGeom prst="rect">
                        <a:avLst/>
                      </a:prstGeom>
                      <a:noFill/>
                      <a:ln w="6350">
                        <a:noFill/>
                      </a:ln>
                    </wps:spPr>
                    <wps:style>
                      <a:lnRef idx="0">
                        <a:srgbClr val="FFFFFF"/>
                      </a:lnRef>
                      <a:fillRef idx="0">
                        <a:srgbClr val="FFFFFF"/>
                      </a:fillRef>
                      <a:effectRef idx="0">
                        <a:srgbClr val="FFFFFF"/>
                      </a:effectRef>
                      <a:fontRef idx="minor"/>
                    </wps:style>
                    <wps:txbx>
                      <w:txbxContent>
                        <w:p>
                          <w:pPr>
                            <w:pStyle w:val="9"/>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p>
                      </w:txbxContent>
                    </wps:txbx>
                    <wps:bodyPr lIns="0" tIns="0" rIns="0" bIns="0">
                      <a:noAutofit/>
                    </wps:bodyPr>
                  </wps:wsp>
                </a:graphicData>
              </a:graphic>
            </wp:anchor>
          </w:drawing>
        </mc:Choice>
        <mc:Fallback>
          <w:pict>
            <v:rect id="文本框 14" o:spid="_x0000_s1026" o:spt="1" style="position:absolute;left:0pt;margin-left:205.45pt;margin-top:-18.75pt;height:31.5pt;width:30.2pt;mso-position-horizontal-relative:margin;z-index:-251657216;mso-width-relative:page;mso-height-relative:page;" filled="f" stroked="f" coordsize="21600,21600" o:allowincell="f" o:gfxdata="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OUCCnZAAAACgEAAA8AAAAAAAAAAQAgAAAAIgAAAGRycy9kb3ducmV2&#10;LnhtbFBLAQIUABQAAAAIAIdO4kADvXSXwgEAAIADAAAOAAAAAAAAAAEAIAAAACgBAABkcnMvZTJv&#10;RG9jLnhtbFBLBQYAAAAABgAGAFkBAABcBQAAAAA=&#10;">
              <v:fill on="f" focussize="0,0"/>
              <v:stroke on="f" weight="0.5pt"/>
              <v:imagedata o:title=""/>
              <o:lock v:ext="edit" aspectratio="f"/>
              <v:textbox inset="0mm,0mm,0mm,0mm">
                <w:txbxContent>
                  <w:p>
                    <w:pPr>
                      <w:pStyle w:val="9"/>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1" locked="0" layoutInCell="0" allowOverlap="1">
              <wp:simplePos x="0" y="0"/>
              <wp:positionH relativeFrom="margin">
                <wp:posOffset>2656205</wp:posOffset>
              </wp:positionH>
              <wp:positionV relativeFrom="paragraph">
                <wp:posOffset>-76200</wp:posOffset>
              </wp:positionV>
              <wp:extent cx="1829435" cy="238125"/>
              <wp:effectExtent l="0" t="0" r="0" b="0"/>
              <wp:wrapNone/>
              <wp:docPr id="47" name="文本框 5_1"/>
              <wp:cNvGraphicFramePr/>
              <a:graphic xmlns:a="http://schemas.openxmlformats.org/drawingml/2006/main">
                <a:graphicData uri="http://schemas.microsoft.com/office/word/2010/wordprocessingShape">
                  <wps:wsp>
                    <wps:cNvSpPr/>
                    <wps:spPr>
                      <a:xfrm>
                        <a:off x="0" y="0"/>
                        <a:ext cx="1828800" cy="237600"/>
                      </a:xfrm>
                      <a:prstGeom prst="rect">
                        <a:avLst/>
                      </a:prstGeom>
                      <a:noFill/>
                      <a:ln w="6350">
                        <a:noFill/>
                      </a:ln>
                    </wps:spPr>
                    <wps:style>
                      <a:lnRef idx="0">
                        <a:srgbClr val="FFFFFF"/>
                      </a:lnRef>
                      <a:fillRef idx="0">
                        <a:srgbClr val="FFFFFF"/>
                      </a:fillRef>
                      <a:effectRef idx="0">
                        <a:srgbClr val="FFFFFF"/>
                      </a:effectRef>
                      <a:fontRef idx="minor"/>
                    </wps:style>
                    <wps:txbx>
                      <w:txbxContent>
                        <w:p>
                          <w:pPr>
                            <w:pStyle w:val="9"/>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w:instrText>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p>
                      </w:txbxContent>
                    </wps:txbx>
                    <wps:bodyPr lIns="0" tIns="0" rIns="0" bIns="0">
                      <a:noAutofit/>
                    </wps:bodyPr>
                  </wps:wsp>
                </a:graphicData>
              </a:graphic>
            </wp:anchor>
          </w:drawing>
        </mc:Choice>
        <mc:Fallback>
          <w:pict>
            <v:rect id="文本框 5_1" o:spid="_x0000_s1026" o:spt="1" style="position:absolute;left:0pt;margin-left:209.15pt;margin-top:-6pt;height:18.75pt;width:144.05pt;mso-position-horizontal-relative:margin;z-index:-251657216;mso-width-relative:page;mso-height-relative:page;" filled="f" stroked="f" coordsize="21600,21600" o:allowincell="f" o:gfxdata="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OrlAtkAAAAKAQAADwAAAAAAAAABACAAAAAiAAAAZHJzL2Rvd25y&#10;ZXYueG1sUEsBAhQAFAAAAAgAh07iQIgSc2rEAQAAggMAAA4AAAAAAAAAAQAgAAAAKAEAAGRycy9l&#10;Mm9Eb2MueG1sUEsFBgAAAAAGAAYAWQEAAF4FAAAAAA==&#10;">
              <v:fill on="f" focussize="0,0"/>
              <v:stroke on="f" weight="0.5pt"/>
              <v:imagedata o:title=""/>
              <o:lock v:ext="edit" aspectratio="f"/>
              <v:textbox inset="0mm,0mm,0mm,0mm">
                <w:txbxContent>
                  <w:p>
                    <w:pPr>
                      <w:pStyle w:val="9"/>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w:instrText>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1" locked="0" layoutInCell="0" allowOverlap="1">
              <wp:simplePos x="0" y="0"/>
              <wp:positionH relativeFrom="margin">
                <wp:posOffset>2656205</wp:posOffset>
              </wp:positionH>
              <wp:positionV relativeFrom="paragraph">
                <wp:posOffset>-76200</wp:posOffset>
              </wp:positionV>
              <wp:extent cx="1829435" cy="238125"/>
              <wp:effectExtent l="0" t="0" r="0" b="0"/>
              <wp:wrapNone/>
              <wp:docPr id="56" name="文本框 45"/>
              <wp:cNvGraphicFramePr/>
              <a:graphic xmlns:a="http://schemas.openxmlformats.org/drawingml/2006/main">
                <a:graphicData uri="http://schemas.microsoft.com/office/word/2010/wordprocessingShape">
                  <wps:wsp>
                    <wps:cNvSpPr/>
                    <wps:spPr>
                      <a:xfrm>
                        <a:off x="0" y="0"/>
                        <a:ext cx="1828800" cy="237600"/>
                      </a:xfrm>
                      <a:prstGeom prst="rect">
                        <a:avLst/>
                      </a:prstGeom>
                      <a:noFill/>
                      <a:ln w="6350">
                        <a:noFill/>
                      </a:ln>
                    </wps:spPr>
                    <wps:style>
                      <a:lnRef idx="0">
                        <a:srgbClr val="FFFFFF"/>
                      </a:lnRef>
                      <a:fillRef idx="0">
                        <a:srgbClr val="FFFFFF"/>
                      </a:fillRef>
                      <a:effectRef idx="0">
                        <a:srgbClr val="FFFFFF"/>
                      </a:effectRef>
                      <a:fontRef idx="minor"/>
                    </wps:style>
                    <wps:txbx>
                      <w:txbxContent>
                        <w:p>
                          <w:pPr>
                            <w:pStyle w:val="9"/>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w:instrText>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p>
                      </w:txbxContent>
                    </wps:txbx>
                    <wps:bodyPr lIns="0" tIns="0" rIns="0" bIns="0">
                      <a:noAutofit/>
                    </wps:bodyPr>
                  </wps:wsp>
                </a:graphicData>
              </a:graphic>
            </wp:anchor>
          </w:drawing>
        </mc:Choice>
        <mc:Fallback>
          <w:pict>
            <v:rect id="文本框 45" o:spid="_x0000_s1026" o:spt="1" style="position:absolute;left:0pt;margin-left:209.15pt;margin-top:-6pt;height:18.75pt;width:144.05pt;mso-position-horizontal-relative:margin;z-index:-251657216;mso-width-relative:page;mso-height-relative:page;" filled="f" stroked="f" coordsize="21600,21600" o:allowincell="f" o:gfxdata="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Dq5QLZAAAACgEAAA8AAAAAAAAAAQAgAAAAIgAAAGRycy9kb3ducmV2&#10;LnhtbFBLAQIUABQAAAAIAIdO4kBDg80DwgEAAIEDAAAOAAAAAAAAAAEAIAAAACgBAABkcnMvZTJv&#10;RG9jLnhtbFBLBQYAAAAABgAGAFkBAABcBQAAAAA=&#10;">
              <v:fill on="f" focussize="0,0"/>
              <v:stroke on="f" weight="0.5pt"/>
              <v:imagedata o:title=""/>
              <o:lock v:ext="edit" aspectratio="f"/>
              <v:textbox inset="0mm,0mm,0mm,0mm">
                <w:txbxContent>
                  <w:p>
                    <w:pPr>
                      <w:pStyle w:val="9"/>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w:instrText>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g">
          <w:drawing>
            <wp:anchor distT="0" distB="0" distL="0" distR="0" simplePos="0" relativeHeight="251659264" behindDoc="1" locked="0" layoutInCell="0" allowOverlap="1">
              <wp:simplePos x="0" y="0"/>
              <wp:positionH relativeFrom="page">
                <wp:posOffset>0</wp:posOffset>
              </wp:positionH>
              <wp:positionV relativeFrom="page">
                <wp:posOffset>0</wp:posOffset>
              </wp:positionV>
              <wp:extent cx="7576185" cy="749300"/>
              <wp:effectExtent l="0" t="0" r="0" b="0"/>
              <wp:wrapNone/>
              <wp:docPr id="13" name="组合 48"/>
              <wp:cNvGraphicFramePr/>
              <a:graphic xmlns:a="http://schemas.openxmlformats.org/drawingml/2006/main">
                <a:graphicData uri="http://schemas.microsoft.com/office/word/2010/wordprocessingGroup">
                  <wpg:wgp>
                    <wpg:cNvGrpSpPr/>
                    <wpg:grpSpPr>
                      <a:xfrm>
                        <a:off x="0" y="0"/>
                        <a:ext cx="7575480" cy="748800"/>
                        <a:chOff x="0" y="0"/>
                        <a:chExt cx="7575480" cy="748800"/>
                      </a:xfrm>
                    </wpg:grpSpPr>
                    <wps:wsp>
                      <wps:cNvPr id="12" name="矩形 12"/>
                      <wps:cNvSpPr/>
                      <wps:spPr>
                        <a:xfrm>
                          <a:off x="0" y="374760"/>
                          <a:ext cx="7571880" cy="374040"/>
                        </a:xfrm>
                        <a:prstGeom prst="rect">
                          <a:avLst/>
                        </a:prstGeom>
                        <a:solidFill>
                          <a:srgbClr val="FFD966"/>
                        </a:solidFill>
                        <a:ln w="12700">
                          <a:noFill/>
                        </a:ln>
                      </wps:spPr>
                      <wps:style>
                        <a:lnRef idx="0">
                          <a:srgbClr val="FFFFFF"/>
                        </a:lnRef>
                        <a:fillRef idx="0">
                          <a:srgbClr val="FFFFFF"/>
                        </a:fillRef>
                        <a:effectRef idx="0">
                          <a:srgbClr val="FFFFFF"/>
                        </a:effectRef>
                        <a:fontRef idx="minor"/>
                      </wps:style>
                      <wps:bodyPr/>
                    </wps:wsp>
                    <wps:wsp>
                      <wps:cNvPr id="14" name="任意多边形 14"/>
                      <wps:cNvSpPr/>
                      <wps:spPr>
                        <a:xfrm>
                          <a:off x="5902920" y="0"/>
                          <a:ext cx="1662480" cy="374760"/>
                        </a:xfrm>
                        <a:custGeom>
                          <a:avLst/>
                          <a:gdLst/>
                          <a:ahLst/>
                          <a:cxnLst/>
                          <a:rect l="l" t="t" r="r" b="b"/>
                          <a:pathLst>
                            <a:path w="2619" h="862">
                              <a:moveTo>
                                <a:pt x="595" y="1"/>
                              </a:moveTo>
                              <a:lnTo>
                                <a:pt x="2619" y="0"/>
                              </a:lnTo>
                              <a:lnTo>
                                <a:pt x="2619" y="862"/>
                              </a:lnTo>
                              <a:lnTo>
                                <a:pt x="0" y="862"/>
                              </a:lnTo>
                              <a:lnTo>
                                <a:pt x="595" y="1"/>
                              </a:lnTo>
                              <a:close/>
                            </a:path>
                          </a:pathLst>
                        </a:custGeom>
                        <a:solidFill>
                          <a:srgbClr val="000000"/>
                        </a:solidFill>
                        <a:ln w="12700">
                          <a:noFill/>
                        </a:ln>
                      </wps:spPr>
                      <wps:style>
                        <a:lnRef idx="0">
                          <a:srgbClr val="FFFFFF"/>
                        </a:lnRef>
                        <a:fillRef idx="0">
                          <a:srgbClr val="FFFFFF"/>
                        </a:fillRef>
                        <a:effectRef idx="0">
                          <a:srgbClr val="FFFFFF"/>
                        </a:effectRef>
                        <a:fontRef idx="minor"/>
                      </wps:style>
                      <wps:bodyPr/>
                    </wps:wsp>
                    <wps:wsp>
                      <wps:cNvPr id="15" name="任意多边形 15"/>
                      <wps:cNvSpPr/>
                      <wps:spPr>
                        <a:xfrm>
                          <a:off x="6087240" y="0"/>
                          <a:ext cx="1488600" cy="374760"/>
                        </a:xfrm>
                        <a:custGeom>
                          <a:avLst/>
                          <a:gdLst/>
                          <a:ahLst/>
                          <a:cxnLst/>
                          <a:rect l="l" t="t" r="r" b="b"/>
                          <a:pathLst>
                            <a:path w="2619" h="1265">
                              <a:moveTo>
                                <a:pt x="668" y="0"/>
                              </a:moveTo>
                              <a:lnTo>
                                <a:pt x="2619" y="10"/>
                              </a:lnTo>
                              <a:lnTo>
                                <a:pt x="2619" y="1265"/>
                              </a:lnTo>
                              <a:lnTo>
                                <a:pt x="0" y="1265"/>
                              </a:lnTo>
                              <a:lnTo>
                                <a:pt x="668" y="0"/>
                              </a:lnTo>
                              <a:close/>
                            </a:path>
                          </a:pathLst>
                        </a:custGeom>
                        <a:solidFill>
                          <a:srgbClr val="FFD966"/>
                        </a:solidFill>
                        <a:ln w="12700">
                          <a:noFill/>
                        </a:ln>
                      </wps:spPr>
                      <wps:style>
                        <a:lnRef idx="0">
                          <a:srgbClr val="FFFFFF"/>
                        </a:lnRef>
                        <a:fillRef idx="0">
                          <a:srgbClr val="FFFFFF"/>
                        </a:fillRef>
                        <a:effectRef idx="0">
                          <a:srgbClr val="FFFFFF"/>
                        </a:effectRef>
                        <a:fontRef idx="minor"/>
                      </wps:style>
                      <wps:bodyPr/>
                    </wps:wsp>
                  </wpg:wgp>
                </a:graphicData>
              </a:graphic>
              <wp14:sizeRelH relativeFrom="page">
                <wp14:pctWidth>100000</wp14:pctWidth>
              </wp14:sizeRelH>
              <wp14:sizeRelV relativeFrom="page">
                <wp14:pctHeight>0</wp14:pctHeight>
              </wp14:sizeRelV>
            </wp:anchor>
          </w:drawing>
        </mc:Choice>
        <mc:Fallback>
          <w:pict>
            <v:group id="组合 48" o:spid="_x0000_s1026" o:spt="203" style="position:absolute;left:0pt;margin-left:0pt;margin-top:0pt;height:59pt;width:596.55pt;mso-position-horizontal-relative:page;mso-position-vertical-relative:page;z-index:-251657216;mso-width-relative:page;mso-height-relative:page;mso-width-percent:1000;" coordsize="7575480,748800" o:allowincell="f" o:gfxdata="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BfQy9U1gAAAAYBAAAPAAAAAAAAAAEAIAAA&#10;ACIAAABkcnMvZG93bnJldi54bWxQSwECFAAUAAAACACHTuJAVSe44isDAAAzCgAADgAAAAAAAAAB&#10;ACAAAAAlAQAAZHJzL2Uyb0RvYy54bWxQSwUGAAAAAAYABgBZAQAAwgYAAAAA&#10;">
              <o:lock v:ext="edit" aspectratio="f"/>
              <v:rect id="_x0000_s1026" o:spid="_x0000_s1026" o:spt="1" style="position:absolute;left:0;top:374760;height:374040;width:7571880;" fillcolor="#FFD966" filled="t" stroked="f" coordsize="21600,21600" o:gfxdata="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Wcgm8AAAA&#10;2wAAAA8AAAAAAAAAAQAgAAAAIgAAAGRycy9kb3ducmV2LnhtbFBLAQIUABQAAAAIAIdO4kAzLwWe&#10;OwAAADkAAAAQAAAAAAAAAAEAIAAAAAsBAABkcnMvc2hhcGV4bWwueG1sUEsFBgAAAAAGAAYAWwEA&#10;ALUDAAAAAA==&#10;">
                <v:fill on="t" focussize="0,0"/>
                <v:stroke on="f" weight="1pt"/>
                <v:imagedata o:title=""/>
                <o:lock v:ext="edit" aspectratio="f"/>
              </v:rect>
              <v:shape id="_x0000_s1026" o:spid="_x0000_s1026" o:spt="100" style="position:absolute;left:5902920;top:0;height:374760;width:1662480;" fillcolor="#000000" filled="t" stroked="f" coordsize="2619,862" o:gfxdata="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yKNyugAAANsA&#10;AAAPAAAAAAAAAAEAIAAAACIAAABkcnMvZG93bnJldi54bWxQSwECFAAUAAAACACHTuJAMy8FnjsA&#10;AAA5AAAAEAAAAAAAAAABACAAAAAJAQAAZHJzL3NoYXBleG1sLnhtbFBLBQYAAAAABgAGAFsBAACz&#10;AwAAAAA=&#10;" path="m595,1l2619,0,2619,862,0,862,595,1xe">
                <v:fill on="t" focussize="0,0"/>
                <v:stroke on="f" weight="1pt"/>
                <v:imagedata o:title=""/>
                <o:lock v:ext="edit" aspectratio="f"/>
              </v:shape>
              <v:shape id="_x0000_s1026" o:spid="_x0000_s1026" o:spt="100" style="position:absolute;left:6087240;top:0;height:374760;width:1488600;" fillcolor="#FFD966" filled="t" stroked="f" coordsize="2619,1265" o:gfxdata="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rYAy8AAAA&#10;2wAAAA8AAAAAAAAAAQAgAAAAIgAAAGRycy9kb3ducmV2LnhtbFBLAQIUABQAAAAIAIdO4kAzLwWe&#10;OwAAADkAAAAQAAAAAAAAAAEAIAAAAAsBAABkcnMvc2hhcGV4bWwueG1sUEsFBgAAAAAGAAYAWwEA&#10;ALUDAAAAAA==&#10;" path="m668,0l2619,10,2619,1265,0,1265,668,0xe">
                <v:fill on="t" focussize="0,0"/>
                <v:stroke on="f" weight="1pt"/>
                <v:imagedata o:title=""/>
                <o:lock v:ext="edit" aspectratio="f"/>
              </v:shape>
            </v:group>
          </w:pict>
        </mc:Fallback>
      </mc:AlternateContent>
    </w:r>
    <w:r>
      <mc:AlternateContent>
        <mc:Choice Requires="wpg">
          <w:drawing>
            <wp:anchor distT="0" distB="0" distL="0" distR="0" simplePos="0" relativeHeight="251659264" behindDoc="1" locked="0" layoutInCell="0" allowOverlap="1">
              <wp:simplePos x="0" y="0"/>
              <wp:positionH relativeFrom="page">
                <wp:align>left</wp:align>
              </wp:positionH>
              <wp:positionV relativeFrom="page">
                <wp:posOffset>377825</wp:posOffset>
              </wp:positionV>
              <wp:extent cx="2000885" cy="407035"/>
              <wp:effectExtent l="0" t="0" r="0" b="0"/>
              <wp:wrapNone/>
              <wp:docPr id="16" name="组合 52"/>
              <wp:cNvGraphicFramePr/>
              <a:graphic xmlns:a="http://schemas.openxmlformats.org/drawingml/2006/main">
                <a:graphicData uri="http://schemas.microsoft.com/office/word/2010/wordprocessingGroup">
                  <wpg:wgp>
                    <wpg:cNvGrpSpPr/>
                    <wpg:grpSpPr>
                      <a:xfrm>
                        <a:off x="0" y="0"/>
                        <a:ext cx="2000160" cy="406440"/>
                        <a:chOff x="0" y="0"/>
                        <a:chExt cx="2000160" cy="406440"/>
                      </a:xfrm>
                    </wpg:grpSpPr>
                    <wps:wsp>
                      <wps:cNvPr id="17" name="矩形 17"/>
                      <wps:cNvSpPr/>
                      <wps:spPr>
                        <a:xfrm>
                          <a:off x="40680" y="0"/>
                          <a:ext cx="1959480" cy="406440"/>
                        </a:xfrm>
                        <a:prstGeom prst="rect">
                          <a:avLst/>
                        </a:prstGeom>
                        <a:noFill/>
                        <a:ln w="6350">
                          <a:noFill/>
                        </a:ln>
                      </wps:spPr>
                      <wps:style>
                        <a:lnRef idx="0">
                          <a:srgbClr val="FFFFFF"/>
                        </a:lnRef>
                        <a:fillRef idx="0">
                          <a:srgbClr val="FFFFFF"/>
                        </a:fillRef>
                        <a:effectRef idx="0">
                          <a:srgbClr val="FFFFFF"/>
                        </a:effectRef>
                        <a:fontRef idx="minor"/>
                      </wps:style>
                      <wps:txbx>
                        <w:txbxContent>
                          <w:p>
                            <w:pPr>
                              <w:overflowPunct w:val="0"/>
                              <w:spacing w:before="0" w:after="0" w:line="240" w:lineRule="auto"/>
                              <w:jc w:val="left"/>
                            </w:pPr>
                            <w:r>
                              <w:rPr>
                                <w:rFonts w:ascii="微软雅黑" w:hAnsi="微软雅黑" w:eastAsia="微软雅黑" w:cs="微软雅黑"/>
                                <w:b/>
                                <w:bCs/>
                                <w:i w:val="0"/>
                                <w:iCs w:val="0"/>
                                <w:caps w:val="0"/>
                                <w:smallCaps w:val="0"/>
                                <w:strike w:val="0"/>
                                <w:dstrike w:val="0"/>
                                <w:spacing w:val="0"/>
                                <w:kern w:val="0"/>
                                <w:position w:val="0"/>
                                <w:sz w:val="28"/>
                                <w:szCs w:val="28"/>
                                <w:u w:val="none"/>
                                <w:vertAlign w:val="baseline"/>
                                <w:lang w:bidi="hi-IN"/>
                              </w:rPr>
                              <w:t>20XX 企业业务制定</w:t>
                            </w:r>
                          </w:p>
                        </w:txbxContent>
                      </wps:txbx>
                      <wps:bodyPr>
                        <a:noAutofit/>
                      </wps:bodyPr>
                    </wps:wsp>
                    <wps:wsp>
                      <wps:cNvPr id="18" name="矩形 18"/>
                      <wps:cNvSpPr/>
                      <wps:spPr>
                        <a:xfrm>
                          <a:off x="0" y="104040"/>
                          <a:ext cx="74880" cy="208800"/>
                        </a:xfrm>
                        <a:prstGeom prst="rect">
                          <a:avLst/>
                        </a:prstGeom>
                        <a:solidFill>
                          <a:srgbClr val="000000"/>
                        </a:solidFill>
                        <a:ln w="12700">
                          <a:noFill/>
                        </a:ln>
                      </wps:spPr>
                      <wps:style>
                        <a:lnRef idx="0">
                          <a:srgbClr val="FFFFFF"/>
                        </a:lnRef>
                        <a:fillRef idx="0">
                          <a:srgbClr val="FFFFFF"/>
                        </a:fillRef>
                        <a:effectRef idx="0">
                          <a:srgbClr val="FFFFFF"/>
                        </a:effectRef>
                        <a:fontRef idx="minor"/>
                      </wps:style>
                      <wps:bodyPr/>
                    </wps:wsp>
                  </wpg:wgp>
                </a:graphicData>
              </a:graphic>
            </wp:anchor>
          </w:drawing>
        </mc:Choice>
        <mc:Fallback>
          <w:pict>
            <v:group id="组合 52" o:spid="_x0000_s1026" o:spt="203" style="position:absolute;left:0pt;margin-top:29.75pt;height:32.05pt;width:157.55pt;mso-position-horizontal:left;mso-position-horizontal-relative:page;mso-position-vertical-relative:page;z-index:-251657216;mso-width-relative:page;mso-height-relative:page;" coordsize="2000160,406440" o:allowincell="f" o:gfxdata="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L0UG9cAAAAHAQAADwAAAAAAAAABACAAAAAiAAAAZHJzL2Rvd25yZXYueG1sUEsBAhQAFAAAAAgA&#10;h07iQPGsVM9fAgAAEwYAAA4AAAAAAAAAAQAgAAAAJgEAAGRycy9lMm9Eb2MueG1sUEsFBgAAAAAG&#10;AAYAWQEAAPcFAAAAAA==&#10;">
              <o:lock v:ext="edit" aspectratio="f"/>
              <v:rect id="_x0000_s1026" o:spid="_x0000_s1026" o:spt="1" style="position:absolute;left:40680;top:0;height:406440;width:1959480;" filled="f" stroked="f" coordsize="21600,21600" o:gfxdata="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rvZ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overflowPunct w:val="0"/>
                        <w:spacing w:before="0" w:after="0" w:line="240" w:lineRule="auto"/>
                        <w:jc w:val="left"/>
                      </w:pPr>
                      <w:r>
                        <w:rPr>
                          <w:rFonts w:ascii="微软雅黑" w:hAnsi="微软雅黑" w:eastAsia="微软雅黑" w:cs="微软雅黑"/>
                          <w:b/>
                          <w:bCs/>
                          <w:i w:val="0"/>
                          <w:iCs w:val="0"/>
                          <w:caps w:val="0"/>
                          <w:smallCaps w:val="0"/>
                          <w:strike w:val="0"/>
                          <w:dstrike w:val="0"/>
                          <w:spacing w:val="0"/>
                          <w:kern w:val="0"/>
                          <w:position w:val="0"/>
                          <w:sz w:val="28"/>
                          <w:szCs w:val="28"/>
                          <w:u w:val="none"/>
                          <w:vertAlign w:val="baseline"/>
                          <w:lang w:bidi="hi-IN"/>
                        </w:rPr>
                        <w:t>20XX 企业业务制定</w:t>
                      </w:r>
                    </w:p>
                  </w:txbxContent>
                </v:textbox>
              </v:rect>
              <v:rect id="_x0000_s1026" o:spid="_x0000_s1026" o:spt="1" style="position:absolute;left:0;top:104040;height:208800;width:74880;" fillcolor="#000000" filled="t" stroked="f" coordsize="21600,21600" o:gfxdata="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oVO9LsAAADb&#10;AAAADwAAAAAAAAABACAAAAAiAAAAZHJzL2Rvd25yZXYueG1sUEsBAhQAFAAAAAgAh07iQDMvBZ47&#10;AAAAOQAAABAAAAAAAAAAAQAgAAAACgEAAGRycy9zaGFwZXhtbC54bWxQSwUGAAAAAAYABgBbAQAA&#10;tAMAAAAA&#10;">
                <v:fill on="t" focussize="0,0"/>
                <v:stroke on="f" weight="1pt"/>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g">
          <w:drawing>
            <wp:anchor distT="0" distB="0" distL="0" distR="0" simplePos="0" relativeHeight="251659264" behindDoc="1" locked="0" layoutInCell="0" allowOverlap="1">
              <wp:simplePos x="0" y="0"/>
              <wp:positionH relativeFrom="page">
                <wp:posOffset>34925</wp:posOffset>
              </wp:positionH>
              <wp:positionV relativeFrom="page">
                <wp:posOffset>596265</wp:posOffset>
              </wp:positionV>
              <wp:extent cx="7580630" cy="417195"/>
              <wp:effectExtent l="0" t="0" r="0" b="0"/>
              <wp:wrapNone/>
              <wp:docPr id="28" name="组合 35"/>
              <wp:cNvGraphicFramePr/>
              <a:graphic xmlns:a="http://schemas.openxmlformats.org/drawingml/2006/main">
                <a:graphicData uri="http://schemas.microsoft.com/office/word/2010/wordprocessingGroup">
                  <wpg:wgp>
                    <wpg:cNvGrpSpPr/>
                    <wpg:grpSpPr>
                      <a:xfrm>
                        <a:off x="0" y="0"/>
                        <a:ext cx="7580160" cy="416520"/>
                        <a:chOff x="0" y="0"/>
                        <a:chExt cx="7580160" cy="416520"/>
                      </a:xfrm>
                    </wpg:grpSpPr>
                    <wps:wsp>
                      <wps:cNvPr id="29" name="矩形 29"/>
                      <wps:cNvSpPr/>
                      <wps:spPr>
                        <a:xfrm>
                          <a:off x="0" y="0"/>
                          <a:ext cx="7550640" cy="416520"/>
                        </a:xfrm>
                        <a:prstGeom prst="rect">
                          <a:avLst/>
                        </a:prstGeom>
                        <a:solidFill>
                          <a:srgbClr val="FFD966"/>
                        </a:solidFill>
                        <a:ln w="12700">
                          <a:noFill/>
                        </a:ln>
                      </wps:spPr>
                      <wps:style>
                        <a:lnRef idx="0">
                          <a:srgbClr val="FFFFFF"/>
                        </a:lnRef>
                        <a:fillRef idx="0">
                          <a:srgbClr val="FFFFFF"/>
                        </a:fillRef>
                        <a:effectRef idx="0">
                          <a:srgbClr val="FFFFFF"/>
                        </a:effectRef>
                        <a:fontRef idx="minor"/>
                      </wps:style>
                      <wps:bodyPr/>
                    </wps:wsp>
                    <wps:wsp>
                      <wps:cNvPr id="30" name="任意多边形 30"/>
                      <wps:cNvSpPr/>
                      <wps:spPr>
                        <a:xfrm>
                          <a:off x="5887080" y="0"/>
                          <a:ext cx="1658160" cy="416520"/>
                        </a:xfrm>
                        <a:custGeom>
                          <a:avLst/>
                          <a:gdLst/>
                          <a:ahLst/>
                          <a:cxnLst/>
                          <a:rect l="l" t="t" r="r" b="b"/>
                          <a:pathLst>
                            <a:path w="2619" h="862">
                              <a:moveTo>
                                <a:pt x="595" y="1"/>
                              </a:moveTo>
                              <a:lnTo>
                                <a:pt x="2619" y="0"/>
                              </a:lnTo>
                              <a:lnTo>
                                <a:pt x="2619" y="862"/>
                              </a:lnTo>
                              <a:lnTo>
                                <a:pt x="0" y="862"/>
                              </a:lnTo>
                              <a:lnTo>
                                <a:pt x="595" y="1"/>
                              </a:lnTo>
                              <a:close/>
                            </a:path>
                          </a:pathLst>
                        </a:custGeom>
                        <a:solidFill>
                          <a:srgbClr val="000000"/>
                        </a:solidFill>
                        <a:ln w="12700">
                          <a:noFill/>
                        </a:ln>
                      </wps:spPr>
                      <wps:style>
                        <a:lnRef idx="0">
                          <a:srgbClr val="FFFFFF"/>
                        </a:lnRef>
                        <a:fillRef idx="0">
                          <a:srgbClr val="FFFFFF"/>
                        </a:fillRef>
                        <a:effectRef idx="0">
                          <a:srgbClr val="FFFFFF"/>
                        </a:effectRef>
                        <a:fontRef idx="minor"/>
                      </wps:style>
                      <wps:bodyPr/>
                    </wps:wsp>
                    <wps:wsp>
                      <wps:cNvPr id="31" name="任意多边形 31"/>
                      <wps:cNvSpPr/>
                      <wps:spPr>
                        <a:xfrm>
                          <a:off x="6070680" y="0"/>
                          <a:ext cx="1509480" cy="416520"/>
                        </a:xfrm>
                        <a:custGeom>
                          <a:avLst/>
                          <a:gdLst/>
                          <a:ahLst/>
                          <a:cxnLst/>
                          <a:rect l="l" t="t" r="r" b="b"/>
                          <a:pathLst>
                            <a:path w="2619" h="1265">
                              <a:moveTo>
                                <a:pt x="668" y="0"/>
                              </a:moveTo>
                              <a:lnTo>
                                <a:pt x="2619" y="10"/>
                              </a:lnTo>
                              <a:lnTo>
                                <a:pt x="2619" y="1265"/>
                              </a:lnTo>
                              <a:lnTo>
                                <a:pt x="0" y="1265"/>
                              </a:lnTo>
                              <a:lnTo>
                                <a:pt x="668" y="0"/>
                              </a:lnTo>
                              <a:close/>
                            </a:path>
                          </a:pathLst>
                        </a:custGeom>
                        <a:solidFill>
                          <a:srgbClr val="FFD966"/>
                        </a:solidFill>
                        <a:ln w="12700">
                          <a:noFill/>
                        </a:ln>
                      </wps:spPr>
                      <wps:style>
                        <a:lnRef idx="0">
                          <a:srgbClr val="FFFFFF"/>
                        </a:lnRef>
                        <a:fillRef idx="0">
                          <a:srgbClr val="FFFFFF"/>
                        </a:fillRef>
                        <a:effectRef idx="0">
                          <a:srgbClr val="FFFFFF"/>
                        </a:effectRef>
                        <a:fontRef idx="minor"/>
                      </wps:style>
                      <wps:bodyPr/>
                    </wps:wsp>
                  </wpg:wgp>
                </a:graphicData>
              </a:graphic>
            </wp:anchor>
          </w:drawing>
        </mc:Choice>
        <mc:Fallback>
          <w:pict>
            <v:group id="组合 35" o:spid="_x0000_s1026" o:spt="203" style="position:absolute;left:0pt;margin-left:2.75pt;margin-top:46.95pt;height:32.85pt;width:596.9pt;mso-position-horizontal-relative:page;mso-position-vertical-relative:page;z-index:-251657216;mso-width-relative:page;mso-height-relative:page;" coordsize="7580160,416520" o:allowincell="f" o:gfxdata="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DxI88n2QAAAAkBAAAPAAAAAAAAAAEAIAAAACIAAABkcnMvZG93bnJldi54&#10;bWxQSwECFAAUAAAACACHTuJAN9RTDRYDAAAuCgAADgAAAAAAAAABACAAAAAoAQAAZHJzL2Uyb0Rv&#10;Yy54bWxQSwUGAAAAAAYABgBZAQAAsAYAAAAA&#10;">
              <o:lock v:ext="edit" aspectratio="f"/>
              <v:rect id="_x0000_s1026" o:spid="_x0000_s1026" o:spt="1" style="position:absolute;left:0;top:0;height:416520;width:7550640;" fillcolor="#FFD966" filled="t" stroked="f" coordsize="21600,21600" o:gfxdata="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XirF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_x0000_s1026" o:spid="_x0000_s1026" o:spt="100" style="position:absolute;left:5887080;top:0;height:416520;width:1658160;" fillcolor="#000000" filled="t" stroked="f" coordsize="2619,862" o:gfxdata="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kb5EbsAAADb&#10;AAAADwAAAAAAAAABACAAAAAiAAAAZHJzL2Rvd25yZXYueG1sUEsBAhQAFAAAAAgAh07iQDMvBZ47&#10;AAAAOQAAABAAAAAAAAAAAQAgAAAACgEAAGRycy9zaGFwZXhtbC54bWxQSwUGAAAAAAYABgBbAQAA&#10;tAMAAAAA&#10;" path="m595,1l2619,0,2619,862,0,862,595,1xe">
                <v:fill on="t" focussize="0,0"/>
                <v:stroke on="f" weight="1pt"/>
                <v:imagedata o:title=""/>
                <o:lock v:ext="edit" aspectratio="f"/>
              </v:shape>
              <v:shape id="_x0000_s1026" o:spid="_x0000_s1026" o:spt="100" style="position:absolute;left:6070680;top:0;height:416520;width:1509480;" fillcolor="#FFD966" filled="t" stroked="f" coordsize="2619,1265" o:gfxdata="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lOm+/&#10;AAAA2wAAAA8AAAAAAAAAAQAgAAAAIgAAAGRycy9kb3ducmV2LnhtbFBLAQIUABQAAAAIAIdO4kAz&#10;LwWeOwAAADkAAAAQAAAAAAAAAAEAIAAAAA4BAABkcnMvc2hhcGV4bWwueG1sUEsFBgAAAAAGAAYA&#10;WwEAALgDAAAAAA==&#10;" path="m668,0l2619,10,2619,1265,0,1265,668,0xe">
                <v:fill on="t" focussize="0,0"/>
                <v:stroke on="f" weight="1pt"/>
                <v:imagedata o:title=""/>
                <o:lock v:ext="edit" aspectratio="f"/>
              </v:shape>
            </v:group>
          </w:pict>
        </mc:Fallback>
      </mc:AlternateContent>
    </w:r>
    <w:r>
      <mc:AlternateContent>
        <mc:Choice Requires="wpg">
          <w:drawing>
            <wp:anchor distT="0" distB="0" distL="0" distR="0" simplePos="0" relativeHeight="251659264" behindDoc="1" locked="0" layoutInCell="0" allowOverlap="1">
              <wp:simplePos x="0" y="0"/>
              <wp:positionH relativeFrom="page">
                <wp:posOffset>24765</wp:posOffset>
              </wp:positionH>
              <wp:positionV relativeFrom="page">
                <wp:posOffset>598170</wp:posOffset>
              </wp:positionV>
              <wp:extent cx="2994025" cy="407035"/>
              <wp:effectExtent l="0" t="0" r="0" b="0"/>
              <wp:wrapNone/>
              <wp:docPr id="32" name="组合 32"/>
              <wp:cNvGraphicFramePr/>
              <a:graphic xmlns:a="http://schemas.openxmlformats.org/drawingml/2006/main">
                <a:graphicData uri="http://schemas.microsoft.com/office/word/2010/wordprocessingGroup">
                  <wpg:wgp>
                    <wpg:cNvGrpSpPr/>
                    <wpg:grpSpPr>
                      <a:xfrm>
                        <a:off x="0" y="0"/>
                        <a:ext cx="2993400" cy="406440"/>
                        <a:chOff x="0" y="0"/>
                        <a:chExt cx="2993400" cy="406440"/>
                      </a:xfrm>
                    </wpg:grpSpPr>
                    <wps:wsp>
                      <wps:cNvPr id="33" name="矩形 33"/>
                      <wps:cNvSpPr/>
                      <wps:spPr>
                        <a:xfrm>
                          <a:off x="60840" y="0"/>
                          <a:ext cx="2932560" cy="406440"/>
                        </a:xfrm>
                        <a:prstGeom prst="rect">
                          <a:avLst/>
                        </a:prstGeom>
                        <a:noFill/>
                        <a:ln w="6350">
                          <a:noFill/>
                        </a:ln>
                      </wps:spPr>
                      <wps:style>
                        <a:lnRef idx="0">
                          <a:srgbClr val="FFFFFF"/>
                        </a:lnRef>
                        <a:fillRef idx="0">
                          <a:srgbClr val="FFFFFF"/>
                        </a:fillRef>
                        <a:effectRef idx="0">
                          <a:srgbClr val="FFFFFF"/>
                        </a:effectRef>
                        <a:fontRef idx="minor"/>
                      </wps:style>
                      <wps:txbx>
                        <w:txbxContent>
                          <w:p>
                            <w:pPr>
                              <w:overflowPunct w:val="0"/>
                              <w:spacing w:before="0" w:after="0" w:line="240" w:lineRule="auto"/>
                              <w:jc w:val="left"/>
                            </w:pPr>
                            <w:r>
                              <w:rPr>
                                <w:rFonts w:ascii="微软雅黑" w:hAnsi="微软雅黑" w:eastAsia="微软雅黑" w:cs="微软雅黑"/>
                                <w:b/>
                                <w:bCs/>
                                <w:i w:val="0"/>
                                <w:iCs w:val="0"/>
                                <w:caps w:val="0"/>
                                <w:smallCaps w:val="0"/>
                                <w:strike w:val="0"/>
                                <w:dstrike w:val="0"/>
                                <w:spacing w:val="0"/>
                                <w:kern w:val="0"/>
                                <w:position w:val="0"/>
                                <w:sz w:val="32"/>
                                <w:szCs w:val="32"/>
                                <w:u w:val="none"/>
                                <w:vertAlign w:val="baseline"/>
                                <w:lang w:bidi="hi-IN"/>
                              </w:rPr>
                              <w:t>第二部分  部门决算情况说明</w:t>
                            </w:r>
                          </w:p>
                        </w:txbxContent>
                      </wps:txbx>
                      <wps:bodyPr>
                        <a:noAutofit/>
                      </wps:bodyPr>
                    </wps:wsp>
                    <wps:wsp>
                      <wps:cNvPr id="34" name="矩形 34"/>
                      <wps:cNvSpPr/>
                      <wps:spPr>
                        <a:xfrm>
                          <a:off x="0" y="104040"/>
                          <a:ext cx="112320" cy="208800"/>
                        </a:xfrm>
                        <a:prstGeom prst="rect">
                          <a:avLst/>
                        </a:prstGeom>
                        <a:solidFill>
                          <a:srgbClr val="000000"/>
                        </a:solidFill>
                        <a:ln w="12700">
                          <a:noFill/>
                        </a:ln>
                      </wps:spPr>
                      <wps:style>
                        <a:lnRef idx="0">
                          <a:srgbClr val="FFFFFF"/>
                        </a:lnRef>
                        <a:fillRef idx="0">
                          <a:srgbClr val="FFFFFF"/>
                        </a:fillRef>
                        <a:effectRef idx="0">
                          <a:srgbClr val="FFFFFF"/>
                        </a:effectRef>
                        <a:fontRef idx="minor"/>
                      </wps:style>
                      <wps:bodyPr/>
                    </wps:wsp>
                  </wpg:wgp>
                </a:graphicData>
              </a:graphic>
            </wp:anchor>
          </w:drawing>
        </mc:Choice>
        <mc:Fallback>
          <w:pict>
            <v:group id="_x0000_s1026" o:spid="_x0000_s1026" o:spt="203" style="position:absolute;left:0pt;margin-left:1.95pt;margin-top:47.1pt;height:32.05pt;width:235.75pt;mso-position-horizontal-relative:page;mso-position-vertical-relative:page;z-index:-251657216;mso-width-relative:page;mso-height-relative:page;" coordsize="2993400,406440" o:allowincell="f" o:gfxdata="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D0g1rZAAAACAEAAA8AAAAAAAAAAQAgAAAAIgAAAGRycy9kb3ducmV2LnhtbFBLAQIUABQA&#10;AAAIAIdO4kBSEwJOYQIAABQGAAAOAAAAAAAAAAEAIAAAACgBAABkcnMvZTJvRG9jLnhtbFBLBQYA&#10;AAAABgAGAFkBAAD7BQAAAAA=&#10;">
              <o:lock v:ext="edit" aspectratio="f"/>
              <v:rect id="_x0000_s1026" o:spid="_x0000_s1026" o:spt="1" style="position:absolute;left:60840;top:0;height:406440;width:2932560;" filled="f" stroked="f" coordsize="21600,21600" o:gfxdata="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UtQW/&#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overflowPunct w:val="0"/>
                        <w:spacing w:before="0" w:after="0" w:line="240" w:lineRule="auto"/>
                        <w:jc w:val="left"/>
                      </w:pPr>
                      <w:r>
                        <w:rPr>
                          <w:rFonts w:ascii="微软雅黑" w:hAnsi="微软雅黑" w:eastAsia="微软雅黑" w:cs="微软雅黑"/>
                          <w:b/>
                          <w:bCs/>
                          <w:i w:val="0"/>
                          <w:iCs w:val="0"/>
                          <w:caps w:val="0"/>
                          <w:smallCaps w:val="0"/>
                          <w:strike w:val="0"/>
                          <w:dstrike w:val="0"/>
                          <w:spacing w:val="0"/>
                          <w:kern w:val="0"/>
                          <w:position w:val="0"/>
                          <w:sz w:val="32"/>
                          <w:szCs w:val="32"/>
                          <w:u w:val="none"/>
                          <w:vertAlign w:val="baseline"/>
                          <w:lang w:bidi="hi-IN"/>
                        </w:rPr>
                        <w:t>第二部分  部门决算情况说明</w:t>
                      </w:r>
                    </w:p>
                  </w:txbxContent>
                </v:textbox>
              </v:rect>
              <v:rect id="_x0000_s1026" o:spid="_x0000_s1026" o:spt="1" style="position:absolute;left:0;top:104040;height:208800;width:112320;" fillcolor="#000000" filled="t" stroked="f" coordsize="21600,21600" o:gfxdata="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0YkbsAAADb&#10;AAAADwAAAAAAAAABACAAAAAiAAAAZHJzL2Rvd25yZXYueG1sUEsBAhQAFAAAAAgAh07iQDMvBZ47&#10;AAAAOQAAABAAAAAAAAAAAQAgAAAACgEAAGRycy9zaGFwZXhtbC54bWxQSwUGAAAAAAYABgBbAQAA&#10;tAMAAAAA&#10;">
                <v:fill on="t" focussize="0,0"/>
                <v:stroke on="f" weight="1pt"/>
                <v:imagedata o:title=""/>
                <o:lock v:ext="edit" aspectratio="f"/>
              </v:rec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g">
          <w:drawing>
            <wp:anchor distT="0" distB="0" distL="0" distR="0" simplePos="0" relativeHeight="251659264" behindDoc="1" locked="0" layoutInCell="0" allowOverlap="1">
              <wp:simplePos x="0" y="0"/>
              <wp:positionH relativeFrom="page">
                <wp:posOffset>0</wp:posOffset>
              </wp:positionH>
              <wp:positionV relativeFrom="page">
                <wp:posOffset>0</wp:posOffset>
              </wp:positionV>
              <wp:extent cx="7554595" cy="481330"/>
              <wp:effectExtent l="0" t="0" r="0" b="0"/>
              <wp:wrapNone/>
              <wp:docPr id="37" name="组合 20"/>
              <wp:cNvGraphicFramePr/>
              <a:graphic xmlns:a="http://schemas.openxmlformats.org/drawingml/2006/main">
                <a:graphicData uri="http://schemas.microsoft.com/office/word/2010/wordprocessingGroup">
                  <wpg:wgp>
                    <wpg:cNvGrpSpPr/>
                    <wpg:grpSpPr>
                      <a:xfrm>
                        <a:off x="0" y="0"/>
                        <a:ext cx="7553880" cy="480600"/>
                        <a:chOff x="0" y="0"/>
                        <a:chExt cx="7553880" cy="480600"/>
                      </a:xfrm>
                    </wpg:grpSpPr>
                    <wps:wsp>
                      <wps:cNvPr id="38" name="矩形 38"/>
                      <wps:cNvSpPr/>
                      <wps:spPr>
                        <a:xfrm>
                          <a:off x="0" y="240840"/>
                          <a:ext cx="7550280" cy="240120"/>
                        </a:xfrm>
                        <a:prstGeom prst="rect">
                          <a:avLst/>
                        </a:prstGeom>
                        <a:solidFill>
                          <a:srgbClr val="FFD966"/>
                        </a:solidFill>
                        <a:ln w="12700">
                          <a:noFill/>
                        </a:ln>
                      </wps:spPr>
                      <wps:style>
                        <a:lnRef idx="0">
                          <a:srgbClr val="FFFFFF"/>
                        </a:lnRef>
                        <a:fillRef idx="0">
                          <a:srgbClr val="FFFFFF"/>
                        </a:fillRef>
                        <a:effectRef idx="0">
                          <a:srgbClr val="FFFFFF"/>
                        </a:effectRef>
                        <a:fontRef idx="minor"/>
                      </wps:style>
                      <wps:bodyPr/>
                    </wps:wsp>
                    <wps:wsp>
                      <wps:cNvPr id="39" name="任意多边形 39"/>
                      <wps:cNvSpPr/>
                      <wps:spPr>
                        <a:xfrm>
                          <a:off x="5886360" y="0"/>
                          <a:ext cx="1658160" cy="240840"/>
                        </a:xfrm>
                        <a:custGeom>
                          <a:avLst/>
                          <a:gdLst/>
                          <a:ahLst/>
                          <a:cxnLst/>
                          <a:rect l="l" t="t" r="r" b="b"/>
                          <a:pathLst>
                            <a:path w="2619" h="862">
                              <a:moveTo>
                                <a:pt x="595" y="1"/>
                              </a:moveTo>
                              <a:lnTo>
                                <a:pt x="2619" y="0"/>
                              </a:lnTo>
                              <a:lnTo>
                                <a:pt x="2619" y="862"/>
                              </a:lnTo>
                              <a:lnTo>
                                <a:pt x="0" y="862"/>
                              </a:lnTo>
                              <a:lnTo>
                                <a:pt x="595" y="1"/>
                              </a:lnTo>
                              <a:close/>
                            </a:path>
                          </a:pathLst>
                        </a:custGeom>
                        <a:solidFill>
                          <a:srgbClr val="000000"/>
                        </a:solidFill>
                        <a:ln w="12700">
                          <a:noFill/>
                        </a:ln>
                      </wps:spPr>
                      <wps:style>
                        <a:lnRef idx="0">
                          <a:srgbClr val="FFFFFF"/>
                        </a:lnRef>
                        <a:fillRef idx="0">
                          <a:srgbClr val="FFFFFF"/>
                        </a:fillRef>
                        <a:effectRef idx="0">
                          <a:srgbClr val="FFFFFF"/>
                        </a:effectRef>
                        <a:fontRef idx="minor"/>
                      </wps:style>
                      <wps:bodyPr/>
                    </wps:wsp>
                    <wps:wsp>
                      <wps:cNvPr id="40" name="任意多边形 40"/>
                      <wps:cNvSpPr/>
                      <wps:spPr>
                        <a:xfrm>
                          <a:off x="6069960" y="0"/>
                          <a:ext cx="1483920" cy="240840"/>
                        </a:xfrm>
                        <a:custGeom>
                          <a:avLst/>
                          <a:gdLst/>
                          <a:ahLst/>
                          <a:cxnLst/>
                          <a:rect l="l" t="t" r="r" b="b"/>
                          <a:pathLst>
                            <a:path w="2619" h="1265">
                              <a:moveTo>
                                <a:pt x="668" y="0"/>
                              </a:moveTo>
                              <a:lnTo>
                                <a:pt x="2619" y="10"/>
                              </a:lnTo>
                              <a:lnTo>
                                <a:pt x="2619" y="1265"/>
                              </a:lnTo>
                              <a:lnTo>
                                <a:pt x="0" y="1265"/>
                              </a:lnTo>
                              <a:lnTo>
                                <a:pt x="668" y="0"/>
                              </a:lnTo>
                              <a:close/>
                            </a:path>
                          </a:pathLst>
                        </a:custGeom>
                        <a:solidFill>
                          <a:srgbClr val="FFD966"/>
                        </a:solidFill>
                        <a:ln w="12700">
                          <a:noFill/>
                        </a:ln>
                      </wps:spPr>
                      <wps:style>
                        <a:lnRef idx="0">
                          <a:srgbClr val="FFFFFF"/>
                        </a:lnRef>
                        <a:fillRef idx="0">
                          <a:srgbClr val="FFFFFF"/>
                        </a:fillRef>
                        <a:effectRef idx="0">
                          <a:srgbClr val="FFFFFF"/>
                        </a:effectRef>
                        <a:fontRef idx="minor"/>
                      </wps:style>
                      <wps:bodyPr/>
                    </wps:wsp>
                  </wpg:wgp>
                </a:graphicData>
              </a:graphic>
            </wp:anchor>
          </w:drawing>
        </mc:Choice>
        <mc:Fallback>
          <w:pict>
            <v:group id="组合 20" o:spid="_x0000_s1026" o:spt="203" style="position:absolute;left:0pt;margin-left:0pt;margin-top:0pt;height:37.9pt;width:594.85pt;mso-position-horizontal-relative:page;mso-position-vertical-relative:page;z-index:-251657216;mso-width-relative:page;mso-height-relative:page;" coordsize="7553880,480600" o:allowincell="f" o:gfxdata="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mCzQnNYAAAAFAQAADwAAAAAAAAABACAAAAAiAAAAZHJzL2Rv&#10;d25yZXYueG1sUEsBAhQAFAAAAAgAh07iQJ4GjH0gAwAAMwoAAA4AAAAAAAAAAQAgAAAAJQEAAGRy&#10;cy9lMm9Eb2MueG1sUEsFBgAAAAAGAAYAWQEAALcGAAAAAA==&#10;">
              <o:lock v:ext="edit" aspectratio="f"/>
              <v:rect id="_x0000_s1026" o:spid="_x0000_s1026" o:spt="1" style="position:absolute;left:0;top:240840;height:240120;width:7550280;" fillcolor="#FFD966" filled="t" stroked="f" coordsize="21600,21600" o:gfxdata="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yxmDugAAANsA&#10;AAAPAAAAAAAAAAEAIAAAACIAAABkcnMvZG93bnJldi54bWxQSwECFAAUAAAACACHTuJAMy8FnjsA&#10;AAA5AAAAEAAAAAAAAAABACAAAAAJAQAAZHJzL3NoYXBleG1sLnhtbFBLBQYAAAAABgAGAFsBAACz&#10;AwAAAAA=&#10;">
                <v:fill on="t" focussize="0,0"/>
                <v:stroke on="f" weight="1pt"/>
                <v:imagedata o:title=""/>
                <o:lock v:ext="edit" aspectratio="f"/>
              </v:rect>
              <v:shape id="_x0000_s1026" o:spid="_x0000_s1026" o:spt="100" style="position:absolute;left:5886360;top:0;height:240840;width:1658160;" fillcolor="#000000" filled="t" stroked="f" coordsize="2619,862" o:gfxdata="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xQjL4A&#10;AADbAAAADwAAAAAAAAABACAAAAAiAAAAZHJzL2Rvd25yZXYueG1sUEsBAhQAFAAAAAgAh07iQDMv&#10;BZ47AAAAOQAAABAAAAAAAAAAAQAgAAAADQEAAGRycy9zaGFwZXhtbC54bWxQSwUGAAAAAAYABgBb&#10;AQAAtwMAAAAA&#10;" path="m595,1l2619,0,2619,862,0,862,595,1xe">
                <v:fill on="t" focussize="0,0"/>
                <v:stroke on="f" weight="1pt"/>
                <v:imagedata o:title=""/>
                <o:lock v:ext="edit" aspectratio="f"/>
              </v:shape>
              <v:shape id="_x0000_s1026" o:spid="_x0000_s1026" o:spt="100" style="position:absolute;left:6069960;top:0;height:240840;width:1483920;" fillcolor="#FFD966" filled="t" stroked="f" coordsize="2619,1265" o:gfxdata="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b+yJugAAANsA&#10;AAAPAAAAAAAAAAEAIAAAACIAAABkcnMvZG93bnJldi54bWxQSwECFAAUAAAACACHTuJAMy8FnjsA&#10;AAA5AAAAEAAAAAAAAAABACAAAAAJAQAAZHJzL3NoYXBleG1sLnhtbFBLBQYAAAAABgAGAFsBAACz&#10;AwAAAAA=&#10;" path="m668,0l2619,10,2619,1265,0,1265,668,0xe">
                <v:fill on="t" focussize="0,0"/>
                <v:stroke on="f" weight="1pt"/>
                <v:imagedata o:title=""/>
                <o:lock v:ext="edit" aspectratio="f"/>
              </v:shape>
            </v:group>
          </w:pict>
        </mc:Fallback>
      </mc:AlternateContent>
    </w:r>
    <w:r>
      <mc:AlternateContent>
        <mc:Choice Requires="wpg">
          <w:drawing>
            <wp:anchor distT="0" distB="0" distL="0" distR="0" simplePos="0" relativeHeight="251659264" behindDoc="1" locked="0" layoutInCell="0" allowOverlap="1">
              <wp:simplePos x="0" y="0"/>
              <wp:positionH relativeFrom="page">
                <wp:posOffset>-27305</wp:posOffset>
              </wp:positionH>
              <wp:positionV relativeFrom="page">
                <wp:posOffset>598805</wp:posOffset>
              </wp:positionV>
              <wp:extent cx="2994025" cy="407035"/>
              <wp:effectExtent l="0" t="0" r="0" b="0"/>
              <wp:wrapNone/>
              <wp:docPr id="41" name="组合 17"/>
              <wp:cNvGraphicFramePr/>
              <a:graphic xmlns:a="http://schemas.openxmlformats.org/drawingml/2006/main">
                <a:graphicData uri="http://schemas.microsoft.com/office/word/2010/wordprocessingGroup">
                  <wpg:wgp>
                    <wpg:cNvGrpSpPr/>
                    <wpg:grpSpPr>
                      <a:xfrm>
                        <a:off x="0" y="0"/>
                        <a:ext cx="2993400" cy="406440"/>
                        <a:chOff x="0" y="0"/>
                        <a:chExt cx="2993400" cy="406440"/>
                      </a:xfrm>
                    </wpg:grpSpPr>
                    <wps:wsp>
                      <wps:cNvPr id="42" name="矩形 42"/>
                      <wps:cNvSpPr/>
                      <wps:spPr>
                        <a:xfrm>
                          <a:off x="60840" y="0"/>
                          <a:ext cx="2932560" cy="406440"/>
                        </a:xfrm>
                        <a:prstGeom prst="rect">
                          <a:avLst/>
                        </a:prstGeom>
                        <a:noFill/>
                        <a:ln w="6350">
                          <a:noFill/>
                        </a:ln>
                      </wps:spPr>
                      <wps:style>
                        <a:lnRef idx="0">
                          <a:srgbClr val="FFFFFF"/>
                        </a:lnRef>
                        <a:fillRef idx="0">
                          <a:srgbClr val="FFFFFF"/>
                        </a:fillRef>
                        <a:effectRef idx="0">
                          <a:srgbClr val="FFFFFF"/>
                        </a:effectRef>
                        <a:fontRef idx="minor"/>
                      </wps:style>
                      <wps:txbx>
                        <w:txbxContent>
                          <w:p>
                            <w:pPr>
                              <w:overflowPunct w:val="0"/>
                              <w:spacing w:before="0" w:after="0" w:line="240" w:lineRule="auto"/>
                              <w:jc w:val="left"/>
                            </w:pPr>
                            <w:r>
                              <w:rPr>
                                <w:rFonts w:ascii="微软雅黑" w:hAnsi="微软雅黑" w:eastAsia="微软雅黑" w:cs="微软雅黑"/>
                                <w:b/>
                                <w:bCs/>
                                <w:i w:val="0"/>
                                <w:iCs w:val="0"/>
                                <w:caps w:val="0"/>
                                <w:smallCaps w:val="0"/>
                                <w:strike w:val="0"/>
                                <w:dstrike w:val="0"/>
                                <w:spacing w:val="0"/>
                                <w:kern w:val="0"/>
                                <w:position w:val="0"/>
                                <w:sz w:val="32"/>
                                <w:szCs w:val="32"/>
                                <w:u w:val="none"/>
                                <w:vertAlign w:val="baseline"/>
                                <w:lang w:bidi="hi-IN"/>
                              </w:rPr>
                              <w:t>第三部分  名词解释</w:t>
                            </w:r>
                          </w:p>
                        </w:txbxContent>
                      </wps:txbx>
                      <wps:bodyPr>
                        <a:noAutofit/>
                      </wps:bodyPr>
                    </wps:wsp>
                    <wps:wsp>
                      <wps:cNvPr id="43" name="矩形 43"/>
                      <wps:cNvSpPr/>
                      <wps:spPr>
                        <a:xfrm>
                          <a:off x="0" y="104040"/>
                          <a:ext cx="112320" cy="208800"/>
                        </a:xfrm>
                        <a:prstGeom prst="rect">
                          <a:avLst/>
                        </a:prstGeom>
                        <a:solidFill>
                          <a:srgbClr val="000000"/>
                        </a:solidFill>
                        <a:ln w="12700">
                          <a:noFill/>
                        </a:ln>
                      </wps:spPr>
                      <wps:style>
                        <a:lnRef idx="0">
                          <a:srgbClr val="FFFFFF"/>
                        </a:lnRef>
                        <a:fillRef idx="0">
                          <a:srgbClr val="FFFFFF"/>
                        </a:fillRef>
                        <a:effectRef idx="0">
                          <a:srgbClr val="FFFFFF"/>
                        </a:effectRef>
                        <a:fontRef idx="minor"/>
                      </wps:style>
                      <wps:bodyPr/>
                    </wps:wsp>
                  </wpg:wgp>
                </a:graphicData>
              </a:graphic>
            </wp:anchor>
          </w:drawing>
        </mc:Choice>
        <mc:Fallback>
          <w:pict>
            <v:group id="组合 17" o:spid="_x0000_s1026" o:spt="203" style="position:absolute;left:0pt;margin-left:-2.15pt;margin-top:47.15pt;height:32.05pt;width:235.75pt;mso-position-horizontal-relative:page;mso-position-vertical-relative:page;z-index:-251657216;mso-width-relative:page;mso-height-relative:page;" coordsize="2993400,406440" o:allowincell="f" o:gfxdata="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cdo2dkAAAAJAQAADwAAAAAAAAABACAAAAAiAAAAZHJzL2Rvd25yZXYueG1sUEsBAhQA&#10;FAAAAAgAh07iQNZHiTZjAgAAFAYAAA4AAAAAAAAAAQAgAAAAKAEAAGRycy9lMm9Eb2MueG1sUEsF&#10;BgAAAAAGAAYAWQEAAP0FAAAAAA==&#10;">
              <o:lock v:ext="edit" aspectratio="f"/>
              <v:rect id="_x0000_s1026" o:spid="_x0000_s1026" o:spt="1" style="position:absolute;left:60840;top:0;height:406440;width:2932560;" filled="f" stroked="f" coordsize="21600,21600" o:gfxdata="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HmPj&#10;wAAAANs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overflowPunct w:val="0"/>
                        <w:spacing w:before="0" w:after="0" w:line="240" w:lineRule="auto"/>
                        <w:jc w:val="left"/>
                      </w:pPr>
                      <w:r>
                        <w:rPr>
                          <w:rFonts w:ascii="微软雅黑" w:hAnsi="微软雅黑" w:eastAsia="微软雅黑" w:cs="微软雅黑"/>
                          <w:b/>
                          <w:bCs/>
                          <w:i w:val="0"/>
                          <w:iCs w:val="0"/>
                          <w:caps w:val="0"/>
                          <w:smallCaps w:val="0"/>
                          <w:strike w:val="0"/>
                          <w:dstrike w:val="0"/>
                          <w:spacing w:val="0"/>
                          <w:kern w:val="0"/>
                          <w:position w:val="0"/>
                          <w:sz w:val="32"/>
                          <w:szCs w:val="32"/>
                          <w:u w:val="none"/>
                          <w:vertAlign w:val="baseline"/>
                          <w:lang w:bidi="hi-IN"/>
                        </w:rPr>
                        <w:t>第三部分  名词解释</w:t>
                      </w:r>
                    </w:p>
                  </w:txbxContent>
                </v:textbox>
              </v:rect>
              <v:rect id="_x0000_s1026" o:spid="_x0000_s1026" o:spt="1" style="position:absolute;left:0;top:104040;height:208800;width:112320;" fillcolor="#000000" filled="t" stroked="f" coordsize="21600,21600" o:gfxdata="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5LzmLsAAADb&#10;AAAADwAAAAAAAAABACAAAAAiAAAAZHJzL2Rvd25yZXYueG1sUEsBAhQAFAAAAAgAh07iQDMvBZ47&#10;AAAAOQAAABAAAAAAAAAAAQAgAAAACgEAAGRycy9zaGFwZXhtbC54bWxQSwUGAAAAAAYABgBbAQAA&#10;tAMAAAAA&#10;">
                <v:fill on="t" focussize="0,0"/>
                <v:stroke on="f" weight="1pt"/>
                <v:imagedata o:title=""/>
                <o:lock v:ext="edit" aspectratio="f"/>
              </v:rect>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g">
          <w:drawing>
            <wp:anchor distT="0" distB="0" distL="0" distR="0" simplePos="0" relativeHeight="251659264" behindDoc="1" locked="0" layoutInCell="0" allowOverlap="1">
              <wp:simplePos x="0" y="0"/>
              <wp:positionH relativeFrom="page">
                <wp:posOffset>31750</wp:posOffset>
              </wp:positionH>
              <wp:positionV relativeFrom="page">
                <wp:posOffset>365125</wp:posOffset>
              </wp:positionV>
              <wp:extent cx="7554595" cy="448310"/>
              <wp:effectExtent l="0" t="0" r="0" b="0"/>
              <wp:wrapNone/>
              <wp:docPr id="49" name="组合 5"/>
              <wp:cNvGraphicFramePr/>
              <a:graphic xmlns:a="http://schemas.openxmlformats.org/drawingml/2006/main">
                <a:graphicData uri="http://schemas.microsoft.com/office/word/2010/wordprocessingGroup">
                  <wpg:wgp>
                    <wpg:cNvGrpSpPr/>
                    <wpg:grpSpPr>
                      <a:xfrm>
                        <a:off x="0" y="0"/>
                        <a:ext cx="7553880" cy="447840"/>
                        <a:chOff x="0" y="0"/>
                        <a:chExt cx="7553880" cy="447840"/>
                      </a:xfrm>
                    </wpg:grpSpPr>
                    <wps:wsp>
                      <wps:cNvPr id="50" name="矩形 50"/>
                      <wps:cNvSpPr/>
                      <wps:spPr>
                        <a:xfrm>
                          <a:off x="0" y="0"/>
                          <a:ext cx="7550280" cy="447840"/>
                        </a:xfrm>
                        <a:prstGeom prst="rect">
                          <a:avLst/>
                        </a:prstGeom>
                        <a:solidFill>
                          <a:srgbClr val="FFD966"/>
                        </a:solidFill>
                        <a:ln w="12700">
                          <a:noFill/>
                        </a:ln>
                      </wps:spPr>
                      <wps:style>
                        <a:lnRef idx="0">
                          <a:srgbClr val="FFFFFF"/>
                        </a:lnRef>
                        <a:fillRef idx="0">
                          <a:srgbClr val="FFFFFF"/>
                        </a:fillRef>
                        <a:effectRef idx="0">
                          <a:srgbClr val="FFFFFF"/>
                        </a:effectRef>
                        <a:fontRef idx="minor"/>
                      </wps:style>
                      <wps:bodyPr/>
                    </wps:wsp>
                    <wps:wsp>
                      <wps:cNvPr id="51" name="任意多边形 51"/>
                      <wps:cNvSpPr/>
                      <wps:spPr>
                        <a:xfrm>
                          <a:off x="5885640" y="0"/>
                          <a:ext cx="1658160" cy="447840"/>
                        </a:xfrm>
                        <a:custGeom>
                          <a:avLst/>
                          <a:gdLst/>
                          <a:ahLst/>
                          <a:cxnLst/>
                          <a:rect l="l" t="t" r="r" b="b"/>
                          <a:pathLst>
                            <a:path w="2619" h="862">
                              <a:moveTo>
                                <a:pt x="595" y="1"/>
                              </a:moveTo>
                              <a:lnTo>
                                <a:pt x="2619" y="0"/>
                              </a:lnTo>
                              <a:lnTo>
                                <a:pt x="2619" y="862"/>
                              </a:lnTo>
                              <a:lnTo>
                                <a:pt x="0" y="862"/>
                              </a:lnTo>
                              <a:lnTo>
                                <a:pt x="595" y="1"/>
                              </a:lnTo>
                              <a:close/>
                            </a:path>
                          </a:pathLst>
                        </a:custGeom>
                        <a:solidFill>
                          <a:srgbClr val="000000"/>
                        </a:solidFill>
                        <a:ln w="12700">
                          <a:noFill/>
                        </a:ln>
                      </wps:spPr>
                      <wps:style>
                        <a:lnRef idx="0">
                          <a:srgbClr val="FFFFFF"/>
                        </a:lnRef>
                        <a:fillRef idx="0">
                          <a:srgbClr val="FFFFFF"/>
                        </a:fillRef>
                        <a:effectRef idx="0">
                          <a:srgbClr val="FFFFFF"/>
                        </a:effectRef>
                        <a:fontRef idx="minor"/>
                      </wps:style>
                      <wps:bodyPr/>
                    </wps:wsp>
                    <wps:wsp>
                      <wps:cNvPr id="52" name="任意多边形 52"/>
                      <wps:cNvSpPr/>
                      <wps:spPr>
                        <a:xfrm>
                          <a:off x="6069960" y="0"/>
                          <a:ext cx="1483920" cy="447840"/>
                        </a:xfrm>
                        <a:custGeom>
                          <a:avLst/>
                          <a:gdLst/>
                          <a:ahLst/>
                          <a:cxnLst/>
                          <a:rect l="l" t="t" r="r" b="b"/>
                          <a:pathLst>
                            <a:path w="2619" h="1265">
                              <a:moveTo>
                                <a:pt x="668" y="0"/>
                              </a:moveTo>
                              <a:lnTo>
                                <a:pt x="2619" y="10"/>
                              </a:lnTo>
                              <a:lnTo>
                                <a:pt x="2619" y="1265"/>
                              </a:lnTo>
                              <a:lnTo>
                                <a:pt x="0" y="1265"/>
                              </a:lnTo>
                              <a:lnTo>
                                <a:pt x="668" y="0"/>
                              </a:lnTo>
                              <a:close/>
                            </a:path>
                          </a:pathLst>
                        </a:custGeom>
                        <a:solidFill>
                          <a:srgbClr val="FFD966"/>
                        </a:solidFill>
                        <a:ln w="12700">
                          <a:noFill/>
                        </a:ln>
                      </wps:spPr>
                      <wps:style>
                        <a:lnRef idx="0">
                          <a:srgbClr val="FFFFFF"/>
                        </a:lnRef>
                        <a:fillRef idx="0">
                          <a:srgbClr val="FFFFFF"/>
                        </a:fillRef>
                        <a:effectRef idx="0">
                          <a:srgbClr val="FFFFFF"/>
                        </a:effectRef>
                        <a:fontRef idx="minor"/>
                      </wps:style>
                      <wps:bodyPr/>
                    </wps:wsp>
                  </wpg:wgp>
                </a:graphicData>
              </a:graphic>
            </wp:anchor>
          </w:drawing>
        </mc:Choice>
        <mc:Fallback>
          <w:pict>
            <v:group id="组合 5" o:spid="_x0000_s1026" o:spt="203" style="position:absolute;left:0pt;margin-left:2.5pt;margin-top:28.75pt;height:35.3pt;width:594.85pt;mso-position-horizontal-relative:page;mso-position-vertical-relative:page;z-index:-251657216;mso-width-relative:page;mso-height-relative:page;" coordsize="7553880,447840" o:allowincell="f" o:gfxdata="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AGB+wHaAAAACQEAAA8AAAAAAAAAAQAgAAAAIgAAAGRycy9kb3ducmV2LnhtbFBL&#10;AQIUABQAAAAIAIdO4kDdANFVEQMAAC0KAAAOAAAAAAAAAAEAIAAAACkBAABkcnMvZTJvRG9jLnht&#10;bFBLBQYAAAAABgAGAFkBAACsBgAAAAA=&#10;">
              <o:lock v:ext="edit" aspectratio="f"/>
              <v:rect id="_x0000_s1026" o:spid="_x0000_s1026" o:spt="1" style="position:absolute;left:0;top:0;height:447840;width:7550280;" fillcolor="#FFD966" filled="t" stroked="f" coordsize="21600,21600" o:gfxdata="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LwJbsAAADb&#10;AAAADwAAAAAAAAABACAAAAAiAAAAZHJzL2Rvd25yZXYueG1sUEsBAhQAFAAAAAgAh07iQDMvBZ47&#10;AAAAOQAAABAAAAAAAAAAAQAgAAAACgEAAGRycy9zaGFwZXhtbC54bWxQSwUGAAAAAAYABgBbAQAA&#10;tAMAAAAA&#10;">
                <v:fill on="t" focussize="0,0"/>
                <v:stroke on="f" weight="1pt"/>
                <v:imagedata o:title=""/>
                <o:lock v:ext="edit" aspectratio="f"/>
              </v:rect>
              <v:shape id="_x0000_s1026" o:spid="_x0000_s1026" o:spt="100" style="position:absolute;left:5885640;top:0;height:447840;width:1658160;" fillcolor="#000000" filled="t" stroked="f" coordsize="2619,862" o:gfxdata="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1bkqvQAA&#10;ANsAAAAPAAAAAAAAAAEAIAAAACIAAABkcnMvZG93bnJldi54bWxQSwECFAAUAAAACACHTuJAMy8F&#10;njsAAAA5AAAAEAAAAAAAAAABACAAAAAMAQAAZHJzL3NoYXBleG1sLnhtbFBLBQYAAAAABgAGAFsB&#10;AAC2AwAAAAA=&#10;" path="m595,1l2619,0,2619,862,0,862,595,1xe">
                <v:fill on="t" focussize="0,0"/>
                <v:stroke on="f" weight="1pt"/>
                <v:imagedata o:title=""/>
                <o:lock v:ext="edit" aspectratio="f"/>
              </v:shape>
              <v:shape id="_x0000_s1026" o:spid="_x0000_s1026" o:spt="100" style="position:absolute;left:6069960;top:0;height:447840;width:1483920;" fillcolor="#FFD966" filled="t" stroked="f" coordsize="2619,1265" o:gfxdata="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hBuL4A&#10;AADbAAAADwAAAAAAAAABACAAAAAiAAAAZHJzL2Rvd25yZXYueG1sUEsBAhQAFAAAAAgAh07iQDMv&#10;BZ47AAAAOQAAABAAAAAAAAAAAQAgAAAADQEAAGRycy9zaGFwZXhtbC54bWxQSwUGAAAAAAYABgBb&#10;AQAAtwMAAAAA&#10;" path="m668,0l2619,10,2619,1265,0,1265,668,0xe">
                <v:fill on="t" focussize="0,0"/>
                <v:stroke on="f" weight="1pt"/>
                <v:imagedata o:title=""/>
                <o:lock v:ext="edit" aspectratio="f"/>
              </v:shape>
            </v:group>
          </w:pict>
        </mc:Fallback>
      </mc:AlternateContent>
    </w:r>
    <w:r>
      <mc:AlternateContent>
        <mc:Choice Requires="wpg">
          <w:drawing>
            <wp:anchor distT="0" distB="0" distL="0" distR="0" simplePos="0" relativeHeight="251659264" behindDoc="1" locked="0" layoutInCell="0" allowOverlap="1">
              <wp:simplePos x="0" y="0"/>
              <wp:positionH relativeFrom="page">
                <wp:posOffset>0</wp:posOffset>
              </wp:positionH>
              <wp:positionV relativeFrom="page">
                <wp:posOffset>377825</wp:posOffset>
              </wp:positionV>
              <wp:extent cx="3556635" cy="407035"/>
              <wp:effectExtent l="0" t="0" r="0" b="0"/>
              <wp:wrapNone/>
              <wp:docPr id="53" name="组合 46"/>
              <wp:cNvGraphicFramePr/>
              <a:graphic xmlns:a="http://schemas.openxmlformats.org/drawingml/2006/main">
                <a:graphicData uri="http://schemas.microsoft.com/office/word/2010/wordprocessingGroup">
                  <wpg:wgp>
                    <wpg:cNvGrpSpPr/>
                    <wpg:grpSpPr>
                      <a:xfrm>
                        <a:off x="0" y="0"/>
                        <a:ext cx="3556080" cy="406440"/>
                        <a:chOff x="0" y="0"/>
                        <a:chExt cx="3556080" cy="406440"/>
                      </a:xfrm>
                    </wpg:grpSpPr>
                    <wps:wsp>
                      <wps:cNvPr id="54" name="矩形 54"/>
                      <wps:cNvSpPr/>
                      <wps:spPr>
                        <a:xfrm>
                          <a:off x="72360" y="0"/>
                          <a:ext cx="3483720" cy="406440"/>
                        </a:xfrm>
                        <a:prstGeom prst="rect">
                          <a:avLst/>
                        </a:prstGeom>
                        <a:noFill/>
                        <a:ln w="6350">
                          <a:noFill/>
                        </a:ln>
                      </wps:spPr>
                      <wps:style>
                        <a:lnRef idx="0">
                          <a:srgbClr val="FFFFFF"/>
                        </a:lnRef>
                        <a:fillRef idx="0">
                          <a:srgbClr val="FFFFFF"/>
                        </a:fillRef>
                        <a:effectRef idx="0">
                          <a:srgbClr val="FFFFFF"/>
                        </a:effectRef>
                        <a:fontRef idx="minor"/>
                      </wps:style>
                      <wps:txbx>
                        <w:txbxContent>
                          <w:p>
                            <w:pPr>
                              <w:overflowPunct w:val="0"/>
                              <w:spacing w:before="0" w:after="0" w:line="240" w:lineRule="auto"/>
                              <w:jc w:val="left"/>
                            </w:pPr>
                            <w:r>
                              <w:rPr>
                                <w:rFonts w:ascii="微软雅黑" w:hAnsi="微软雅黑" w:eastAsia="微软雅黑" w:cs="微软雅黑"/>
                                <w:b/>
                                <w:bCs/>
                                <w:i w:val="0"/>
                                <w:iCs w:val="0"/>
                                <w:caps w:val="0"/>
                                <w:smallCaps w:val="0"/>
                                <w:strike w:val="0"/>
                                <w:dstrike w:val="0"/>
                                <w:spacing w:val="0"/>
                                <w:kern w:val="0"/>
                                <w:position w:val="0"/>
                                <w:sz w:val="32"/>
                                <w:szCs w:val="32"/>
                                <w:u w:val="none"/>
                                <w:vertAlign w:val="baseline"/>
                                <w:lang w:bidi="hi-IN"/>
                              </w:rPr>
                              <w:t>第四部分 2019年度部门决算报表</w:t>
                            </w:r>
                          </w:p>
                          <w:p>
                            <w:pPr>
                              <w:overflowPunct w:val="0"/>
                              <w:spacing w:before="0" w:after="0" w:line="240" w:lineRule="auto"/>
                              <w:jc w:val="left"/>
                            </w:pPr>
                          </w:p>
                        </w:txbxContent>
                      </wps:txbx>
                      <wps:bodyPr>
                        <a:noAutofit/>
                      </wps:bodyPr>
                    </wps:wsp>
                    <wps:wsp>
                      <wps:cNvPr id="55" name="矩形 55"/>
                      <wps:cNvSpPr/>
                      <wps:spPr>
                        <a:xfrm>
                          <a:off x="0" y="104040"/>
                          <a:ext cx="133920" cy="208800"/>
                        </a:xfrm>
                        <a:prstGeom prst="rect">
                          <a:avLst/>
                        </a:prstGeom>
                        <a:solidFill>
                          <a:srgbClr val="000000"/>
                        </a:solidFill>
                        <a:ln w="12700">
                          <a:noFill/>
                        </a:ln>
                      </wps:spPr>
                      <wps:style>
                        <a:lnRef idx="0">
                          <a:srgbClr val="FFFFFF"/>
                        </a:lnRef>
                        <a:fillRef idx="0">
                          <a:srgbClr val="FFFFFF"/>
                        </a:fillRef>
                        <a:effectRef idx="0">
                          <a:srgbClr val="FFFFFF"/>
                        </a:effectRef>
                        <a:fontRef idx="minor"/>
                      </wps:style>
                      <wps:bodyPr/>
                    </wps:wsp>
                  </wpg:wgp>
                </a:graphicData>
              </a:graphic>
            </wp:anchor>
          </w:drawing>
        </mc:Choice>
        <mc:Fallback>
          <w:pict>
            <v:group id="组合 46" o:spid="_x0000_s1026" o:spt="203" style="position:absolute;left:0pt;margin-left:0pt;margin-top:29.75pt;height:32.05pt;width:280.05pt;mso-position-horizontal-relative:page;mso-position-vertical-relative:page;z-index:-251657216;mso-width-relative:page;mso-height-relative:page;" coordsize="3556080,406440" o:allowincell="f" o:gfxdata="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z&#10;3Q+81wAAAAcBAAAPAAAAAAAAAAEAIAAAACIAAABkcnMvZG93bnJldi54bWxQSwECFAAUAAAACACH&#10;TuJAkkrR0l4CAAAUBgAADgAAAAAAAAABACAAAAAmAQAAZHJzL2Uyb0RvYy54bWxQSwUGAAAAAAYA&#10;BgBZAQAA9gUAAAAA&#10;">
              <o:lock v:ext="edit" aspectratio="f"/>
              <v:rect id="_x0000_s1026" o:spid="_x0000_s1026" o:spt="1" style="position:absolute;left:72360;top:0;height:406440;width:3483720;" filled="f" stroked="f" coordsize="21600,21600" o:gfxdata="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mLI&#10;0cEAAADbAAAADwAAAAAAAAABACAAAAAiAAAAZHJzL2Rvd25yZXYueG1sUEsBAhQAFAAAAAgAh07i&#10;QDMvBZ47AAAAOQAAABAAAAAAAAAAAQAgAAAAEAEAAGRycy9zaGFwZXhtbC54bWxQSwUGAAAAAAYA&#10;BgBbAQAAugMAAAAA&#10;">
                <v:fill on="f" focussize="0,0"/>
                <v:stroke on="f" weight="0.5pt"/>
                <v:imagedata o:title=""/>
                <o:lock v:ext="edit" aspectratio="f"/>
                <v:textbox>
                  <w:txbxContent>
                    <w:p>
                      <w:pPr>
                        <w:overflowPunct w:val="0"/>
                        <w:spacing w:before="0" w:after="0" w:line="240" w:lineRule="auto"/>
                        <w:jc w:val="left"/>
                      </w:pPr>
                      <w:r>
                        <w:rPr>
                          <w:rFonts w:ascii="微软雅黑" w:hAnsi="微软雅黑" w:eastAsia="微软雅黑" w:cs="微软雅黑"/>
                          <w:b/>
                          <w:bCs/>
                          <w:i w:val="0"/>
                          <w:iCs w:val="0"/>
                          <w:caps w:val="0"/>
                          <w:smallCaps w:val="0"/>
                          <w:strike w:val="0"/>
                          <w:dstrike w:val="0"/>
                          <w:spacing w:val="0"/>
                          <w:kern w:val="0"/>
                          <w:position w:val="0"/>
                          <w:sz w:val="32"/>
                          <w:szCs w:val="32"/>
                          <w:u w:val="none"/>
                          <w:vertAlign w:val="baseline"/>
                          <w:lang w:bidi="hi-IN"/>
                        </w:rPr>
                        <w:t>第四部分 2019年度部门决算报表</w:t>
                      </w:r>
                    </w:p>
                    <w:p>
                      <w:pPr>
                        <w:overflowPunct w:val="0"/>
                        <w:spacing w:before="0" w:after="0" w:line="240" w:lineRule="auto"/>
                        <w:jc w:val="left"/>
                      </w:pPr>
                    </w:p>
                  </w:txbxContent>
                </v:textbox>
              </v:rect>
              <v:rect id="_x0000_s1026" o:spid="_x0000_s1026" o:spt="1" style="position:absolute;left:0;top:104040;height:208800;width:133920;" fillcolor="#000000" filled="t" stroked="f" coordsize="21600,21600" o:gfxdata="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7liqugAAANsA&#10;AAAPAAAAAAAAAAEAIAAAACIAAABkcnMvZG93bnJldi54bWxQSwECFAAUAAAACACHTuJAMy8FnjsA&#10;AAA5AAAAEAAAAAAAAAABACAAAAAJAQAAZHJzL3NoYXBleG1sLnhtbFBLBQYAAAAABgAGAFsBAACz&#10;AwAAAAA=&#10;">
                <v:fill on="t" focussize="0,0"/>
                <v:stroke on="f" weight="1pt"/>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3"/>
      <w:numFmt w:val="taiwa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autoHyphenation/>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A6BA0"/>
    <w:rsid w:val="0DAF4B4E"/>
    <w:rsid w:val="1C0E353D"/>
    <w:rsid w:val="1E57733C"/>
    <w:rsid w:val="35F65DCD"/>
    <w:rsid w:val="3FB41231"/>
    <w:rsid w:val="58EA546D"/>
    <w:rsid w:val="666D7F7C"/>
    <w:rsid w:val="6D206900"/>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hi-IN"/>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
    <w:name w:val="要点1"/>
    <w:basedOn w:val="4"/>
    <w:qFormat/>
    <w:uiPriority w:val="0"/>
    <w:rPr>
      <w:b/>
    </w:rPr>
  </w:style>
  <w:style w:type="paragraph" w:customStyle="1" w:styleId="6">
    <w:name w:val="正文1"/>
    <w:qFormat/>
    <w:uiPriority w:val="0"/>
    <w:pPr>
      <w:widowControl w:val="0"/>
      <w:suppressAutoHyphens w:val="0"/>
      <w:bidi w:val="0"/>
      <w:spacing w:before="0" w:after="0"/>
      <w:jc w:val="both"/>
    </w:pPr>
    <w:rPr>
      <w:rFonts w:asciiTheme="minorHAnsi" w:hAnsiTheme="minorHAnsi" w:eastAsiaTheme="minorEastAsia" w:cstheme="minorBidi"/>
      <w:color w:val="auto"/>
      <w:kern w:val="2"/>
      <w:sz w:val="21"/>
      <w:szCs w:val="22"/>
      <w:lang w:val="en-US" w:eastAsia="zh-CN" w:bidi="ar-SA"/>
    </w:rPr>
  </w:style>
  <w:style w:type="paragraph" w:customStyle="1" w:styleId="7">
    <w:name w:val="标题 11"/>
    <w:basedOn w:val="6"/>
    <w:next w:val="6"/>
    <w:qFormat/>
    <w:uiPriority w:val="9"/>
    <w:pPr>
      <w:keepNext/>
      <w:keepLines/>
      <w:spacing w:before="340" w:after="330" w:line="578" w:lineRule="auto"/>
      <w:outlineLvl w:val="0"/>
    </w:pPr>
    <w:rPr>
      <w:b/>
      <w:bCs/>
      <w:kern w:val="2"/>
      <w:sz w:val="44"/>
      <w:szCs w:val="44"/>
    </w:rPr>
  </w:style>
  <w:style w:type="paragraph" w:customStyle="1" w:styleId="8">
    <w:name w:val="标题 21"/>
    <w:basedOn w:val="6"/>
    <w:next w:val="6"/>
    <w:qFormat/>
    <w:uiPriority w:val="9"/>
    <w:pPr>
      <w:keepNext/>
      <w:keepLines/>
      <w:spacing w:before="260" w:after="260" w:line="415" w:lineRule="auto"/>
      <w:outlineLvl w:val="1"/>
    </w:pPr>
    <w:rPr>
      <w:rFonts w:ascii="Calibri" w:hAnsi="Calibri" w:eastAsia="宋体" w:cs="Times New Roman"/>
      <w:b/>
      <w:bCs/>
      <w:sz w:val="32"/>
      <w:szCs w:val="32"/>
    </w:rPr>
  </w:style>
  <w:style w:type="paragraph" w:customStyle="1" w:styleId="9">
    <w:name w:val="页脚1"/>
    <w:basedOn w:val="6"/>
    <w:unhideWhenUsed/>
    <w:qFormat/>
    <w:uiPriority w:val="99"/>
    <w:pPr>
      <w:tabs>
        <w:tab w:val="center" w:pos="4153"/>
        <w:tab w:val="right" w:pos="8306"/>
      </w:tabs>
      <w:snapToGrid w:val="0"/>
      <w:jc w:val="left"/>
    </w:pPr>
    <w:rPr>
      <w:sz w:val="18"/>
      <w:szCs w:val="18"/>
    </w:rPr>
  </w:style>
  <w:style w:type="paragraph" w:customStyle="1" w:styleId="10">
    <w:name w:val="页眉1"/>
    <w:basedOn w:val="6"/>
    <w:unhideWhenUsed/>
    <w:qFormat/>
    <w:uiPriority w:val="99"/>
    <w:pPr>
      <w:tabs>
        <w:tab w:val="center" w:pos="4153"/>
        <w:tab w:val="right" w:pos="8306"/>
      </w:tabs>
      <w:snapToGrid w:val="0"/>
      <w:jc w:val="center"/>
    </w:pPr>
    <w:rPr>
      <w:sz w:val="18"/>
      <w:szCs w:val="18"/>
    </w:rPr>
  </w:style>
  <w:style w:type="paragraph" w:customStyle="1" w:styleId="11">
    <w:name w:val="框架内容"/>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customXml" Target="../customXml/item2.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5.emf"/><Relationship Id="rId4" Type="http://schemas.openxmlformats.org/officeDocument/2006/relationships/header" Target="header2.xml"/><Relationship Id="rId39" Type="http://schemas.openxmlformats.org/officeDocument/2006/relationships/package" Target="embeddings/Workbook11.xlsx"/><Relationship Id="rId38" Type="http://schemas.openxmlformats.org/officeDocument/2006/relationships/image" Target="media/image14.emf"/><Relationship Id="rId37" Type="http://schemas.openxmlformats.org/officeDocument/2006/relationships/package" Target="embeddings/Workbook10.xlsx"/><Relationship Id="rId36" Type="http://schemas.openxmlformats.org/officeDocument/2006/relationships/image" Target="media/image13.emf"/><Relationship Id="rId35" Type="http://schemas.openxmlformats.org/officeDocument/2006/relationships/package" Target="embeddings/Workbook9.xlsx"/><Relationship Id="rId34" Type="http://schemas.openxmlformats.org/officeDocument/2006/relationships/image" Target="media/image12.emf"/><Relationship Id="rId33" Type="http://schemas.openxmlformats.org/officeDocument/2006/relationships/package" Target="embeddings/Workbook8.xlsx"/><Relationship Id="rId32" Type="http://schemas.openxmlformats.org/officeDocument/2006/relationships/image" Target="media/image11.emf"/><Relationship Id="rId31" Type="http://schemas.openxmlformats.org/officeDocument/2006/relationships/package" Target="embeddings/Workbook7.xlsx"/><Relationship Id="rId30" Type="http://schemas.openxmlformats.org/officeDocument/2006/relationships/image" Target="media/image10.emf"/><Relationship Id="rId3" Type="http://schemas.openxmlformats.org/officeDocument/2006/relationships/header" Target="header1.xml"/><Relationship Id="rId29" Type="http://schemas.openxmlformats.org/officeDocument/2006/relationships/package" Target="embeddings/Workbook6.xlsx"/><Relationship Id="rId28" Type="http://schemas.openxmlformats.org/officeDocument/2006/relationships/image" Target="media/image9.emf"/><Relationship Id="rId27" Type="http://schemas.openxmlformats.org/officeDocument/2006/relationships/package" Target="embeddings/Workbook5.xlsx"/><Relationship Id="rId26" Type="http://schemas.openxmlformats.org/officeDocument/2006/relationships/image" Target="media/image8.emf"/><Relationship Id="rId25" Type="http://schemas.openxmlformats.org/officeDocument/2006/relationships/package" Target="embeddings/Workbook4.xlsx"/><Relationship Id="rId24" Type="http://schemas.openxmlformats.org/officeDocument/2006/relationships/image" Target="media/image7.emf"/><Relationship Id="rId23" Type="http://schemas.openxmlformats.org/officeDocument/2006/relationships/package" Target="embeddings/Workbook3.xlsx"/><Relationship Id="rId22" Type="http://schemas.openxmlformats.org/officeDocument/2006/relationships/image" Target="media/image6.emf"/><Relationship Id="rId21" Type="http://schemas.openxmlformats.org/officeDocument/2006/relationships/package" Target="embeddings/Workbook2.xlsx"/><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package" Target="embeddings/Workbook1.xlsx"/><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bmp"/><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31</Pages>
  <Words>6236</Words>
  <Characters>6860</Characters>
  <Paragraphs>186</Paragraphs>
  <TotalTime>0</TotalTime>
  <ScaleCrop>false</ScaleCrop>
  <LinksUpToDate>false</LinksUpToDate>
  <CharactersWithSpaces>6922</CharactersWithSpaces>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走自己的路</cp:lastModifiedBy>
  <cp:lastPrinted>2020-07-30T02:37:00Z</cp:lastPrinted>
  <dcterms:modified xsi:type="dcterms:W3CDTF">2021-06-28T09:44:08Z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26533D43D6C44C54B4B13C2BDF3B8031</vt:lpwstr>
  </property>
  <property fmtid="{D5CDD505-2E9C-101B-9397-08002B2CF9AE}" pid="3" name="KSOProductBuildVer">
    <vt:lpwstr>2052-11.1.0.10495</vt:lpwstr>
  </property>
</Properties>
</file>