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  <w:t>承德市应急管理局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2020年预算绩效部门重点评价档案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spacing w:line="100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本档案由开展评价的部门（单位）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留存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  <w:t>评价项目名称：非煤矿山隐患排查专项经费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  <w:t>评价科室名称：承德市应急管理局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</w:pPr>
    </w:p>
    <w:p>
      <w:pPr>
        <w:ind w:firstLine="3960" w:firstLineChars="1100"/>
        <w:jc w:val="both"/>
        <w:rPr>
          <w:rFonts w:hint="eastAsia" w:asciiTheme="minorEastAsia" w:hAnsiTheme="minorEastAsia" w:cstheme="min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6"/>
          <w:szCs w:val="36"/>
          <w:lang w:val="en-US" w:eastAsia="zh-CN"/>
        </w:rPr>
        <w:t>2020年8月31日</w:t>
      </w:r>
    </w:p>
    <w:p>
      <w:pPr>
        <w:ind w:firstLine="5040" w:firstLineChars="1400"/>
        <w:jc w:val="both"/>
        <w:rPr>
          <w:rFonts w:hint="eastAsia" w:asciiTheme="minorEastAsia" w:hAnsiTheme="minorEastAsia" w:cstheme="minorEastAsia"/>
          <w:b w:val="0"/>
          <w:bCs w:val="0"/>
          <w:sz w:val="36"/>
          <w:szCs w:val="36"/>
          <w:lang w:val="en-US" w:eastAsia="zh-CN"/>
        </w:rPr>
      </w:pPr>
    </w:p>
    <w:p>
      <w:pPr>
        <w:ind w:firstLine="3253" w:firstLineChars="900"/>
        <w:jc w:val="both"/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目     录</w:t>
      </w:r>
    </w:p>
    <w:p>
      <w:pPr>
        <w:jc w:val="left"/>
        <w:rPr>
          <w:rFonts w:hint="eastAsia" w:asciiTheme="minorEastAsia" w:hAnsiTheme="minorEastAsia" w:cstheme="minorEastAsia"/>
          <w:b w:val="0"/>
          <w:bCs w:val="0"/>
          <w:sz w:val="36"/>
          <w:szCs w:val="36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一、绩效评价报告（最终稿）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二、绩效评价工作方案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三、绩效评价主要依据文件资料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四、绩效评价培训登记表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五、绩效评价工作底稿（含佐证材料）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880" w:firstLineChars="20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2019年度金属非金属矿山“专家会诊”隐患排查项目</w:t>
      </w:r>
      <w:r>
        <w:rPr>
          <w:rFonts w:hint="eastAsia" w:ascii="黑体" w:hAnsi="黑体" w:eastAsia="黑体"/>
          <w:sz w:val="44"/>
          <w:szCs w:val="44"/>
        </w:rPr>
        <w:t>绩效评价报告</w:t>
      </w:r>
    </w:p>
    <w:p>
      <w:pPr>
        <w:spacing w:line="560" w:lineRule="exact"/>
        <w:ind w:firstLine="880" w:firstLineChars="200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承德市应急管理局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金属非金属矿山“专家会诊”隐患排查项目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绩效评价报告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根据《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承德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市财政局关于印发2020年市级预算绩效部门重点评价计划的通知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》（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承财评价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〔2020〕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6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号），为进一步规范项目支出管理，不断强化预算绩效理念，切实提高资金使用效益，我局对2019年度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金属非金属矿山“专家会诊”隐患排查项目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支出资金使用情况进行了绩效自评，形成本评价报告。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（一）项目概况。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1.项目主要内容。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为深入贯彻落实党中央、国务院关于加强安全生产工作的决策部署，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河北省财政厅、河北省安全生产监督管理局《关于印发&lt;河北省非煤矿山综合治理专项资金管理办法&gt;的通知》（冀财建[2015]94号）、河北省应急管理厅《关于做好2019年非煤矿山综合治理专项资金支持项目组织实施工作的通知》（冀应急非煤[2019]53号）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承德市应急管理局关于印发&lt;2019年金属非金属矿山“专家会诊”事故隐患排查整治方案&gt;的通知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》（承市应急管一字[2019]22号）及相关规定，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承德市应急管理局采用公开招标的方式，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利用省2017年和2018年拨付我市的“专家会诊”隐患排查费用剩余资金206.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聘用5家机构对全市286个金属非金属矿山系统进行“专家会诊”隐患排查。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2.项目实施情况。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市局成立了以主管局长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为组长的排查整治工作领导小组，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负责排查整治工作的组织领导。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制定了排查方案，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明确了排查的方式、范围、目标、内容、职责分工和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排查工作程序等。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通过公开招标的方式选定了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家中介机构为201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年金属非金属矿山隐患排查的中介服务单位。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招标结束后，立即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召开了排查工作动员会暨培训会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专家会诊”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隐患排查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工作进行了动员部署，并对排查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业务培训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。根据我市矿山生产特点和年度工作重点，为使排查工作取得真正的效果提出了“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个突出”的要求。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突出排查整治重大隐患，突出指导“双控”体制机制建设，突出易发事故的环节和部位的检查，突出剖析企业和区域存在的深层次问题，突出排查安全生产状况较差企业，突出解决共性问题，重点难点问题。在实际检查中加强了对单班入井30人以上的地下矿山、近三年来事故企业的排查。由于部分矿山停产，实际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排查金属非金属矿山253座，排查整治隐患3099条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，支出排查服务费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172.743万元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（二）项目绩效目标。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对全市286个金属非金属矿山系统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进行隐患排查，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整治事故隐患，提升安全生产条件，遏制较大以上事故发生。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二、绩效评价工作开展情况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（一）绩效评价目的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通过绩效评价，了解资金使用情况及取得的阶段性成果，总结项目资金管理的经验，及时发现项目资金管理中存在的问题，为规范支出管理，提高专项资金的使用效益，健全和完善项目支出和资金使用，完善预算编制、加强绩效目标管理和绩效考核等工作提供重要的参考依据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（二）项目资金实际使用等情况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3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.</w:t>
      </w:r>
      <w:r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资金来源。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利用省2017年和2018年拨付我市的“专家会诊”隐患排查费用剩余资金206.632万元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3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.</w:t>
      </w:r>
      <w:r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资金管理情况。</w:t>
      </w: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我局严格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河北省财政厅、河北省安全生产监督管理局《关于印发&lt;河北省非煤矿山综合治理专项资金管理办法&gt;的通知》（冀财建[2015]94号）、河北省应急管理厅《关于做好2019年非煤矿山综合治理专项资金支持项目组织实施工作的通知》（冀应急非煤[2019]53号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组织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项目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申报、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招标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，能按照有关规定使用专项资金。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（三）项目组织情况分析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3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.</w:t>
      </w:r>
      <w:r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组织项目申报。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严格按照规定要求向财政局进行采购计划备案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3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</w:t>
      </w:r>
      <w:r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进行项目公示。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按照规定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对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2019年度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金属非金属矿山“专家会诊”隐患排查项目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进行公示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，接受群众和社会监督。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（四）项目管理情况分析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我局严格按照项目管理有关规定，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有序组织项目实施。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firstLine="645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综合评价情况及评价结论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我局严格按照有关规定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进行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项目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申报、分配、使用和管理，程序规范，流程透明，通过有关项目的实施，取得了良好的经济收益和社会效益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进行了打分测评，测评结果为优，得分为99.7分。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（见附表）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3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隐患排查治理既是开展安全生产工作的重要抓手，也是保证人民生产生活安全的有效手段。在过去的一年里，我局从专项资金中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投入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172.743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万元用于各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县9（市、区）金属非金属矿山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隐患排查治理工作，在一定程度上稳控了我市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金属非金属矿山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安全生产风险。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firstLine="645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四、主要工作经验、问题和建议及下一步改进措施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（一）取得的经验。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通过排查一是排查整改了</w:t>
      </w:r>
      <w:r>
        <w:rPr>
          <w:rFonts w:hint="eastAsia" w:ascii="仿宋_GB2312" w:hAnsi="仿宋_GB2312" w:eastAsia="仿宋_GB2312" w:cs="仿宋_GB2312"/>
          <w:sz w:val="32"/>
          <w:szCs w:val="32"/>
        </w:rPr>
        <w:t>大量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事故</w:t>
      </w:r>
      <w:r>
        <w:rPr>
          <w:rFonts w:hint="eastAsia" w:ascii="仿宋_GB2312" w:hAnsi="仿宋_GB2312" w:eastAsia="仿宋_GB2312" w:cs="仿宋_GB2312"/>
          <w:sz w:val="32"/>
          <w:szCs w:val="32"/>
        </w:rPr>
        <w:t>隐患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，提高了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企业安全条件，完善了相关制度，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对遏制事故发生起到了极大作用。二是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指导企业进行风险辨识管控。逐岗位进行风险辨识和分级，制定每项风险的管控措施，同时制定管控阶段的考核标准和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企业风险辨识管控表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，对企业“双控”体系建设起到了指导培训作用。三是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剖析了企业整体安全状况。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对每个企业排查结束后，对企业的安全现状水平进行整体评估，形成评估报告，并告知企业易发生事故的环节、部位以及应采取的防范措施。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起到了“传、帮、带”作用。通过随从中介机构的排查，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安全生产技术管理经验得到了充分交流，安监部门监管人员、企业安全管理人员的业务水平提升起到了一定的促进作用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弥补了地方安全监管人员少、技术能力弱的不足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。五是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对每个县区排查结束后，对该区域的整体安全现状水平进行评估，形成评估报告，对易发生事故的企业、工艺和部位列出清单并提出防范的意见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，特别是对企业安全状况进行了排名，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为监管部门实施有效监管提供准确的依据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进一步摸清了我市金属非金属矿山安全生产基本状况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。六是</w:t>
      </w:r>
      <w:r>
        <w:rPr>
          <w:rFonts w:hint="eastAsia" w:ascii="仿宋_GB2312" w:hAnsi="仿宋_GB2312" w:eastAsia="仿宋_GB2312" w:cs="仿宋_GB2312"/>
          <w:sz w:val="32"/>
          <w:szCs w:val="32"/>
        </w:rPr>
        <w:t>对政府购买服务，帮扶企业的做法得到了相关部门、乡镇、企业的充分认可，进一步树立了安监部门服务企业的良好形象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，年度未发生较大及以上事故。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（二）存在的问题。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主要是预算不准确，导致出现剩余资金。隐患排查计划排查企业由于企业停产、环境整治、证照到期等原因不能按计划实施，出现计划数多于实际排查数，出现资金剩余。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下一步改进措施。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3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.</w:t>
      </w:r>
      <w:r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加强资金使用管理。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进一步规范专项资金的支出审批和使用,严格按项目申报表控制资金支出范围、用途,杜绝变相挤占、挪用。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3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2.推进开展绩效评价。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通过委托第三方或自行组织对项目资金使用情况开展绩效评价，推进绩效评价工作常态化，让“花钱必问效，无效必问责”的观念深入人心。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800" w:firstLineChars="15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承德市应急管理局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2020年8月31日</w:t>
      </w:r>
    </w:p>
    <w:p>
      <w:pPr>
        <w:spacing w:line="592" w:lineRule="exact"/>
        <w:jc w:val="both"/>
        <w:rPr>
          <w:rFonts w:eastAsia="方正小标宋简体"/>
          <w:bCs/>
          <w:sz w:val="44"/>
          <w:szCs w:val="44"/>
        </w:rPr>
      </w:pPr>
    </w:p>
    <w:p>
      <w:pPr>
        <w:spacing w:line="592" w:lineRule="exact"/>
        <w:jc w:val="both"/>
        <w:rPr>
          <w:rFonts w:eastAsia="方正小标宋简体"/>
          <w:bCs/>
          <w:sz w:val="44"/>
          <w:szCs w:val="44"/>
        </w:rPr>
      </w:pPr>
    </w:p>
    <w:p>
      <w:pPr>
        <w:spacing w:line="592" w:lineRule="exact"/>
        <w:jc w:val="both"/>
        <w:rPr>
          <w:rFonts w:eastAsia="方正小标宋简体"/>
          <w:bCs/>
          <w:sz w:val="44"/>
          <w:szCs w:val="44"/>
        </w:rPr>
      </w:pPr>
    </w:p>
    <w:p>
      <w:pPr>
        <w:spacing w:line="592" w:lineRule="exact"/>
        <w:jc w:val="both"/>
        <w:rPr>
          <w:rFonts w:eastAsia="方正小标宋简体"/>
          <w:bCs/>
          <w:sz w:val="44"/>
          <w:szCs w:val="44"/>
        </w:rPr>
      </w:pPr>
    </w:p>
    <w:p>
      <w:pPr>
        <w:spacing w:line="592" w:lineRule="exact"/>
        <w:jc w:val="both"/>
        <w:rPr>
          <w:rFonts w:eastAsia="方正小标宋简体"/>
          <w:bCs/>
          <w:sz w:val="44"/>
          <w:szCs w:val="44"/>
        </w:rPr>
      </w:pPr>
    </w:p>
    <w:p>
      <w:pPr>
        <w:spacing w:line="592" w:lineRule="exact"/>
        <w:jc w:val="both"/>
        <w:rPr>
          <w:rFonts w:eastAsia="方正小标宋简体"/>
          <w:bCs/>
          <w:sz w:val="44"/>
          <w:szCs w:val="44"/>
        </w:rPr>
      </w:pPr>
    </w:p>
    <w:p>
      <w:pPr>
        <w:spacing w:line="592" w:lineRule="exact"/>
        <w:jc w:val="both"/>
        <w:rPr>
          <w:rFonts w:eastAsia="方正小标宋简体"/>
          <w:bCs/>
          <w:sz w:val="44"/>
          <w:szCs w:val="44"/>
        </w:rPr>
      </w:pPr>
    </w:p>
    <w:p>
      <w:pPr>
        <w:spacing w:line="592" w:lineRule="exact"/>
        <w:jc w:val="both"/>
        <w:rPr>
          <w:rFonts w:eastAsia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2019年度金属非金属矿山“专家会诊”隐患排查项目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绩效评价工作方案</w:t>
      </w: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市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级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预算绩效部门重点评价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工作方案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承德</w:t>
      </w:r>
      <w:r>
        <w:rPr>
          <w:rFonts w:hint="eastAsia" w:ascii="仿宋" w:hAnsi="仿宋" w:eastAsia="仿宋" w:cs="仿宋"/>
          <w:sz w:val="32"/>
          <w:szCs w:val="32"/>
        </w:rPr>
        <w:t>市财政局《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承德</w:t>
      </w:r>
      <w:r>
        <w:rPr>
          <w:rFonts w:hint="eastAsia" w:ascii="仿宋" w:hAnsi="仿宋" w:eastAsia="仿宋" w:cs="仿宋"/>
          <w:sz w:val="32"/>
          <w:szCs w:val="32"/>
        </w:rPr>
        <w:t>市市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级预算</w:t>
      </w:r>
      <w:r>
        <w:rPr>
          <w:rFonts w:hint="eastAsia" w:ascii="仿宋" w:hAnsi="仿宋" w:eastAsia="仿宋" w:cs="仿宋"/>
          <w:sz w:val="32"/>
          <w:szCs w:val="32"/>
        </w:rPr>
        <w:t>绩效重点评价管理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承财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字【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】</w:t>
      </w:r>
      <w:r>
        <w:rPr>
          <w:rFonts w:hint="eastAsia" w:ascii="仿宋" w:hAnsi="仿宋" w:eastAsia="仿宋" w:cs="仿宋"/>
          <w:sz w:val="32"/>
          <w:szCs w:val="32"/>
        </w:rPr>
        <w:t>2号）、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《承</w:t>
      </w:r>
      <w:r>
        <w:rPr>
          <w:rFonts w:hint="eastAsia" w:ascii="仿宋" w:hAnsi="仿宋" w:eastAsia="仿宋" w:cs="仿宋"/>
          <w:sz w:val="32"/>
          <w:szCs w:val="32"/>
        </w:rPr>
        <w:t>德市财政局关于印发2020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级预</w:t>
      </w:r>
      <w:r>
        <w:rPr>
          <w:rFonts w:hint="eastAsia" w:ascii="仿宋" w:hAnsi="仿宋" w:eastAsia="仿宋" w:cs="仿宋"/>
          <w:sz w:val="32"/>
          <w:szCs w:val="32"/>
        </w:rPr>
        <w:t>算绩效部门重点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</w:t>
      </w:r>
      <w:r>
        <w:rPr>
          <w:rFonts w:hint="eastAsia" w:ascii="仿宋" w:hAnsi="仿宋" w:eastAsia="仿宋" w:cs="仿宋"/>
          <w:sz w:val="32"/>
          <w:szCs w:val="32"/>
        </w:rPr>
        <w:t>价的计划通知》（承财评价[2020]6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号）</w:t>
      </w:r>
      <w:r>
        <w:rPr>
          <w:rFonts w:hint="eastAsia" w:ascii="仿宋" w:hAnsi="仿宋" w:eastAsia="仿宋" w:cs="仿宋"/>
          <w:sz w:val="32"/>
          <w:szCs w:val="32"/>
        </w:rPr>
        <w:t>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求</w:t>
      </w:r>
      <w:r>
        <w:rPr>
          <w:rFonts w:hint="eastAsia" w:ascii="仿宋" w:hAnsi="仿宋" w:eastAsia="仿宋" w:cs="仿宋"/>
          <w:sz w:val="32"/>
          <w:szCs w:val="32"/>
        </w:rPr>
        <w:t>，结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合我单位实际</w:t>
      </w:r>
      <w:r>
        <w:rPr>
          <w:rFonts w:hint="eastAsia" w:ascii="仿宋" w:hAnsi="仿宋" w:eastAsia="仿宋" w:cs="仿宋"/>
          <w:sz w:val="32"/>
          <w:szCs w:val="32"/>
        </w:rPr>
        <w:t>，制定本方案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一、组织领导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为切实做好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2019年我局重点项目预算绩效评价工作，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成</w:t>
      </w:r>
      <w:r>
        <w:rPr>
          <w:rFonts w:hint="eastAsia" w:ascii="仿宋" w:hAnsi="仿宋" w:eastAsia="仿宋" w:cs="仿宋"/>
          <w:sz w:val="32"/>
          <w:szCs w:val="32"/>
        </w:rPr>
        <w:t>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承德市</w:t>
      </w:r>
      <w:r>
        <w:rPr>
          <w:rFonts w:hint="eastAsia" w:ascii="仿宋" w:hAnsi="仿宋" w:eastAsia="仿宋" w:cs="仿宋"/>
          <w:sz w:val="32"/>
          <w:szCs w:val="32"/>
        </w:rPr>
        <w:t>管理局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绩</w:t>
      </w:r>
      <w:r>
        <w:rPr>
          <w:rFonts w:hint="eastAsia" w:ascii="仿宋" w:hAnsi="仿宋" w:eastAsia="仿宋" w:cs="仿宋"/>
          <w:sz w:val="32"/>
          <w:szCs w:val="32"/>
        </w:rPr>
        <w:t>效评价工作小组，工作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小组人员名单如下：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姜立新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副组长；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闫洪涛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曲志清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任志华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王建华  李东阳   张玉坤   王旭  龚健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评价工作小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sz w:val="32"/>
          <w:szCs w:val="32"/>
        </w:rPr>
        <w:t>下设办公室，办公室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设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规划财务科</w:t>
      </w:r>
      <w:r>
        <w:rPr>
          <w:rFonts w:hint="eastAsia" w:ascii="仿宋" w:hAnsi="仿宋" w:eastAsia="仿宋" w:cs="仿宋"/>
          <w:sz w:val="32"/>
          <w:szCs w:val="32"/>
        </w:rPr>
        <w:t>，负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责</w:t>
      </w:r>
      <w:r>
        <w:rPr>
          <w:rFonts w:hint="eastAsia" w:ascii="仿宋" w:hAnsi="仿宋" w:eastAsia="仿宋" w:cs="仿宋"/>
          <w:sz w:val="32"/>
          <w:szCs w:val="32"/>
        </w:rPr>
        <w:t>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绩效</w:t>
      </w:r>
      <w:r>
        <w:rPr>
          <w:rFonts w:hint="eastAsia" w:ascii="仿宋" w:hAnsi="仿宋" w:eastAsia="仿宋" w:cs="仿宋"/>
          <w:sz w:val="32"/>
          <w:szCs w:val="32"/>
        </w:rPr>
        <w:t>评价工作的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组织、</w:t>
      </w:r>
      <w:r>
        <w:rPr>
          <w:rFonts w:hint="eastAsia" w:ascii="仿宋" w:hAnsi="仿宋" w:eastAsia="仿宋" w:cs="仿宋"/>
          <w:sz w:val="32"/>
          <w:szCs w:val="32"/>
        </w:rPr>
        <w:t>协调、督促、检查工作。相关业务科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室</w:t>
      </w:r>
      <w:r>
        <w:rPr>
          <w:rFonts w:hint="eastAsia" w:ascii="仿宋" w:hAnsi="仿宋" w:eastAsia="仿宋" w:cs="仿宋"/>
          <w:sz w:val="32"/>
          <w:szCs w:val="32"/>
        </w:rPr>
        <w:t>负责2019年度部门预算项目支出绩效评价工作．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绩效评价工作小组负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责</w:t>
      </w:r>
      <w:r>
        <w:rPr>
          <w:rFonts w:hint="eastAsia" w:ascii="仿宋" w:hAnsi="仿宋" w:eastAsia="仿宋" w:cs="仿宋"/>
          <w:sz w:val="32"/>
          <w:szCs w:val="32"/>
        </w:rPr>
        <w:t>复核项目数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量</w:t>
      </w:r>
      <w:r>
        <w:rPr>
          <w:rFonts w:hint="eastAsia" w:ascii="仿宋" w:hAnsi="仿宋" w:eastAsia="仿宋" w:cs="仿宋"/>
          <w:sz w:val="32"/>
          <w:szCs w:val="32"/>
        </w:rPr>
        <w:t>的完整性及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</w:t>
      </w:r>
      <w:r>
        <w:rPr>
          <w:rFonts w:hint="eastAsia" w:ascii="仿宋" w:hAnsi="仿宋" w:eastAsia="仿宋" w:cs="仿宋"/>
          <w:sz w:val="32"/>
          <w:szCs w:val="32"/>
        </w:rPr>
        <w:t>目资金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的准确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性。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评价原则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履行部门主体责任。按照“谁使用资金、谁负责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绩效</w:t>
      </w:r>
      <w:r>
        <w:rPr>
          <w:rFonts w:hint="eastAsia" w:ascii="仿宋" w:hAnsi="仿宋" w:eastAsia="仿宋" w:cs="仿宋"/>
          <w:sz w:val="32"/>
          <w:szCs w:val="32"/>
        </w:rPr>
        <w:t>评价”的要求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，使用资金的</w:t>
      </w:r>
      <w:r>
        <w:rPr>
          <w:rFonts w:hint="eastAsia" w:ascii="仿宋" w:hAnsi="仿宋" w:eastAsia="仿宋" w:cs="仿宋"/>
          <w:sz w:val="32"/>
          <w:szCs w:val="32"/>
        </w:rPr>
        <w:t>业务科宝认真组织相关项目支出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绩</w:t>
      </w:r>
      <w:r>
        <w:rPr>
          <w:rFonts w:hint="eastAsia" w:ascii="仿宋" w:hAnsi="仿宋" w:eastAsia="仿宋" w:cs="仿宋"/>
          <w:sz w:val="32"/>
          <w:szCs w:val="32"/>
        </w:rPr>
        <w:t>效评价的数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据</w:t>
      </w:r>
      <w:r>
        <w:rPr>
          <w:rFonts w:hint="eastAsia" w:ascii="仿宋" w:hAnsi="仿宋" w:eastAsia="仿宋" w:cs="仿宋"/>
          <w:sz w:val="30"/>
          <w:szCs w:val="30"/>
        </w:rPr>
        <w:t>统计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信息采集以及资料汇总审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核</w:t>
      </w:r>
      <w:r>
        <w:rPr>
          <w:rFonts w:hint="eastAsia" w:ascii="仿宋" w:hAnsi="仿宋" w:eastAsia="仿宋" w:cs="仿宋"/>
          <w:sz w:val="30"/>
          <w:szCs w:val="30"/>
        </w:rPr>
        <w:t>等相关工作。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2、确保评价客观真实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项目绩效自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评应做</w:t>
      </w:r>
      <w:r>
        <w:rPr>
          <w:rFonts w:hint="eastAsia" w:ascii="仿宋" w:hAnsi="仿宋" w:eastAsia="仿宋" w:cs="仿宋"/>
          <w:sz w:val="32"/>
          <w:szCs w:val="32"/>
        </w:rPr>
        <w:t>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</w:t>
      </w:r>
      <w:r>
        <w:rPr>
          <w:rFonts w:hint="eastAsia" w:ascii="仿宋" w:hAnsi="仿宋" w:eastAsia="仿宋" w:cs="仿宋"/>
          <w:sz w:val="32"/>
          <w:szCs w:val="32"/>
        </w:rPr>
        <w:t>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</w:t>
      </w:r>
      <w:r>
        <w:rPr>
          <w:rFonts w:hint="eastAsia" w:ascii="仿宋" w:hAnsi="仿宋" w:eastAsia="仿宋" w:cs="仿宋"/>
          <w:sz w:val="32"/>
          <w:szCs w:val="32"/>
        </w:rPr>
        <w:t>规，实事求是，确保数据真实、准确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完整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、全面。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3、评价方法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流</w:t>
      </w:r>
      <w:r>
        <w:rPr>
          <w:rFonts w:hint="eastAsia" w:ascii="仿宋" w:hAnsi="仿宋" w:eastAsia="仿宋" w:cs="仿宋"/>
          <w:sz w:val="32"/>
          <w:szCs w:val="32"/>
        </w:rPr>
        <w:t>程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评价方法采用定性与定量相结合的方法，</w:t>
      </w:r>
      <w:r>
        <w:rPr>
          <w:rFonts w:hint="eastAsia" w:ascii="仿宋" w:hAnsi="仿宋" w:eastAsia="仿宋" w:cs="仿宋"/>
          <w:sz w:val="32"/>
          <w:szCs w:val="32"/>
        </w:rPr>
        <w:t>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目</w:t>
      </w:r>
      <w:r>
        <w:rPr>
          <w:rFonts w:hint="eastAsia" w:ascii="仿宋" w:hAnsi="仿宋" w:eastAsia="仿宋" w:cs="仿宋"/>
          <w:sz w:val="32"/>
          <w:szCs w:val="32"/>
        </w:rPr>
        <w:t>责任科室自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评→绩效</w:t>
      </w:r>
      <w:r>
        <w:rPr>
          <w:rFonts w:hint="eastAsia" w:ascii="仿宋" w:hAnsi="仿宋" w:eastAsia="仿宋" w:cs="仿宋"/>
          <w:sz w:val="32"/>
          <w:szCs w:val="32"/>
        </w:rPr>
        <w:t>评价工作小组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复核→</w:t>
      </w:r>
      <w:r>
        <w:rPr>
          <w:rFonts w:hint="eastAsia" w:ascii="仿宋" w:hAnsi="仿宋" w:eastAsia="仿宋" w:cs="仿宋"/>
          <w:sz w:val="32"/>
          <w:szCs w:val="32"/>
        </w:rPr>
        <w:t>撰写绩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效报</w:t>
      </w:r>
      <w:r>
        <w:rPr>
          <w:rFonts w:hint="eastAsia" w:ascii="仿宋" w:hAnsi="仿宋" w:eastAsia="仿宋" w:cs="仿宋"/>
          <w:sz w:val="32"/>
          <w:szCs w:val="32"/>
        </w:rPr>
        <w:t>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</w:t>
      </w:r>
      <w:r>
        <w:rPr>
          <w:rFonts w:hint="eastAsia" w:ascii="仿宋" w:hAnsi="仿宋" w:eastAsia="仿宋" w:cs="仿宋"/>
          <w:sz w:val="32"/>
          <w:szCs w:val="32"/>
        </w:rPr>
        <w:t>要求报市财政局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工作步骤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准备阶段(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日- 6月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日)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明确评价工作目标及评价要求；了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解</w:t>
      </w:r>
      <w:r>
        <w:rPr>
          <w:rFonts w:hint="eastAsia" w:ascii="仿宋" w:hAnsi="仿宋" w:eastAsia="仿宋" w:cs="仿宋"/>
          <w:sz w:val="32"/>
          <w:szCs w:val="32"/>
        </w:rPr>
        <w:t>项目总体情况，学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绩效</w:t>
      </w:r>
      <w:r>
        <w:rPr>
          <w:rFonts w:hint="eastAsia" w:ascii="仿宋" w:hAnsi="仿宋" w:eastAsia="仿宋" w:cs="仿宋"/>
          <w:sz w:val="32"/>
          <w:szCs w:val="32"/>
        </w:rPr>
        <w:t>评价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政策</w:t>
      </w:r>
      <w:r>
        <w:rPr>
          <w:rFonts w:hint="eastAsia" w:ascii="仿宋" w:hAnsi="仿宋" w:eastAsia="仿宋" w:cs="仿宋"/>
          <w:sz w:val="32"/>
          <w:szCs w:val="32"/>
        </w:rPr>
        <w:t>、评价标准，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了解财政</w:t>
      </w:r>
      <w:r>
        <w:rPr>
          <w:rFonts w:hint="eastAsia" w:ascii="仿宋" w:hAnsi="仿宋" w:eastAsia="仿宋" w:cs="仿宋"/>
          <w:sz w:val="32"/>
          <w:szCs w:val="32"/>
        </w:rPr>
        <w:t>支出绩效评价方法和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sz w:val="32"/>
          <w:szCs w:val="32"/>
        </w:rPr>
        <w:t>关要求，部署绩效评价相关工作，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收集相关资料、</w:t>
      </w:r>
      <w:r>
        <w:rPr>
          <w:rFonts w:hint="eastAsia" w:ascii="仿宋" w:hAnsi="仿宋" w:eastAsia="仿宋" w:cs="仿宋"/>
          <w:sz w:val="32"/>
          <w:szCs w:val="32"/>
        </w:rPr>
        <w:t>统计财务数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据。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二）自评阶段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日——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月30日)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按照绩效</w:t>
      </w:r>
      <w:r>
        <w:rPr>
          <w:rFonts w:hint="eastAsia" w:ascii="仿宋" w:hAnsi="仿宋" w:eastAsia="仿宋" w:cs="仿宋"/>
          <w:sz w:val="32"/>
          <w:szCs w:val="32"/>
        </w:rPr>
        <w:t>评价工作要求，针对评价项目，建立科学规范的评价指标体系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根据项目实施情况严格评分，形成评价结论，提出存在问题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建议和意见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撰写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初</w:t>
      </w:r>
      <w:r>
        <w:rPr>
          <w:rFonts w:hint="eastAsia" w:ascii="仿宋" w:hAnsi="仿宋" w:eastAsia="仿宋" w:cs="仿宋"/>
          <w:sz w:val="32"/>
          <w:szCs w:val="32"/>
        </w:rPr>
        <w:t>步评价报告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（三）结果应用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本次财政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审核</w:t>
      </w:r>
      <w:r>
        <w:rPr>
          <w:rFonts w:hint="eastAsia" w:ascii="仿宋" w:hAnsi="仿宋" w:eastAsia="仿宋" w:cs="仿宋"/>
          <w:sz w:val="32"/>
          <w:szCs w:val="32"/>
        </w:rPr>
        <w:t>结果将作为部门预算绩效管理考核以及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下一</w:t>
      </w:r>
      <w:r>
        <w:rPr>
          <w:rFonts w:hint="eastAsia" w:ascii="仿宋" w:hAnsi="仿宋" w:eastAsia="仿宋" w:cs="仿宋"/>
          <w:sz w:val="32"/>
          <w:szCs w:val="32"/>
        </w:rPr>
        <w:t>年度项目预算申报的重要依据．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工作要求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高度重视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加强领导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。绩效</w:t>
      </w:r>
      <w:r>
        <w:rPr>
          <w:rFonts w:hint="eastAsia" w:ascii="仿宋" w:hAnsi="仿宋" w:eastAsia="仿宋" w:cs="仿宋"/>
          <w:sz w:val="32"/>
          <w:szCs w:val="32"/>
        </w:rPr>
        <w:t>评价工作小组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</w:t>
      </w:r>
      <w:r>
        <w:rPr>
          <w:rFonts w:hint="eastAsia" w:ascii="仿宋" w:hAnsi="仿宋" w:eastAsia="仿宋" w:cs="仿宋"/>
          <w:sz w:val="32"/>
          <w:szCs w:val="32"/>
        </w:rPr>
        <w:t>“花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钱</w:t>
      </w:r>
      <w:r>
        <w:rPr>
          <w:rFonts w:hint="eastAsia" w:ascii="仿宋" w:hAnsi="仿宋" w:eastAsia="仿宋" w:cs="仿宋"/>
          <w:sz w:val="32"/>
          <w:szCs w:val="32"/>
        </w:rPr>
        <w:t>必问效，无效必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问</w:t>
      </w:r>
      <w:r>
        <w:rPr>
          <w:rFonts w:hint="eastAsia" w:ascii="仿宋" w:hAnsi="仿宋" w:eastAsia="仿宋" w:cs="仿宋"/>
          <w:sz w:val="32"/>
          <w:szCs w:val="32"/>
        </w:rPr>
        <w:t>责”的理念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加强对本次绩效评价工作的组织领导，明确工作任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务</w:t>
      </w:r>
      <w:r>
        <w:rPr>
          <w:rFonts w:hint="eastAsia" w:ascii="仿宋" w:hAnsi="仿宋" w:eastAsia="仿宋" w:cs="仿宋"/>
          <w:sz w:val="32"/>
          <w:szCs w:val="32"/>
        </w:rPr>
        <w:t>、健全工作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</w:t>
      </w:r>
      <w:r>
        <w:rPr>
          <w:rFonts w:hint="eastAsia" w:ascii="仿宋" w:hAnsi="仿宋" w:eastAsia="仿宋" w:cs="仿宋"/>
          <w:sz w:val="32"/>
          <w:szCs w:val="32"/>
        </w:rPr>
        <w:t>制、配强工作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人员，高效推进工作开展。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严把节点，科学实施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。依据评</w:t>
      </w:r>
      <w:r>
        <w:rPr>
          <w:rFonts w:hint="eastAsia" w:ascii="仿宋" w:hAnsi="仿宋" w:eastAsia="仿宋" w:cs="仿宋"/>
          <w:sz w:val="32"/>
          <w:szCs w:val="32"/>
        </w:rPr>
        <w:t>价项目的实际，设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置</w:t>
      </w:r>
      <w:r>
        <w:rPr>
          <w:rFonts w:hint="eastAsia" w:ascii="仿宋" w:hAnsi="仿宋" w:eastAsia="仿宋" w:cs="仿宋"/>
          <w:sz w:val="32"/>
          <w:szCs w:val="32"/>
        </w:rPr>
        <w:t>科学的评价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指标</w:t>
      </w:r>
      <w:r>
        <w:rPr>
          <w:rFonts w:hint="eastAsia" w:ascii="仿宋" w:hAnsi="仿宋" w:eastAsia="仿宋" w:cs="仿宋"/>
          <w:sz w:val="32"/>
          <w:szCs w:val="32"/>
        </w:rPr>
        <w:t>和评价标准．有效反映项目资金的使用绩效。同时要严格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</w:rPr>
        <w:t>本方案确定的时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间</w:t>
      </w:r>
      <w:r>
        <w:rPr>
          <w:rFonts w:hint="eastAsia" w:ascii="仿宋" w:hAnsi="仿宋" w:eastAsia="仿宋" w:cs="仿宋"/>
          <w:sz w:val="32"/>
          <w:szCs w:val="32"/>
        </w:rPr>
        <w:t>节点，倒排工期，确保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本次</w:t>
      </w:r>
      <w:r>
        <w:rPr>
          <w:rFonts w:hint="eastAsia" w:ascii="仿宋" w:hAnsi="仿宋" w:eastAsia="仿宋" w:cs="仿宋"/>
          <w:sz w:val="32"/>
          <w:szCs w:val="32"/>
        </w:rPr>
        <w:t>绩效评价工作如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</w:t>
      </w:r>
      <w:r>
        <w:rPr>
          <w:rFonts w:hint="eastAsia" w:ascii="仿宋" w:hAnsi="仿宋" w:eastAsia="仿宋" w:cs="仿宋"/>
          <w:sz w:val="32"/>
          <w:szCs w:val="32"/>
        </w:rPr>
        <w:t>圆满完成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强化应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用，</w:t>
      </w:r>
      <w:r>
        <w:rPr>
          <w:rFonts w:hint="eastAsia" w:ascii="仿宋" w:hAnsi="仿宋" w:eastAsia="仿宋" w:cs="仿宋"/>
          <w:sz w:val="32"/>
          <w:szCs w:val="32"/>
        </w:rPr>
        <w:t>注重效果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高度重视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</w:t>
      </w:r>
      <w:r>
        <w:rPr>
          <w:rFonts w:hint="eastAsia" w:ascii="仿宋" w:hAnsi="仿宋" w:eastAsia="仿宋" w:cs="仿宋"/>
          <w:sz w:val="32"/>
          <w:szCs w:val="32"/>
        </w:rPr>
        <w:t>价结果应用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</w:t>
      </w:r>
      <w:r>
        <w:rPr>
          <w:rFonts w:hint="eastAsia" w:ascii="仿宋" w:hAnsi="仿宋" w:eastAsia="仿宋" w:cs="仿宋"/>
          <w:sz w:val="32"/>
          <w:szCs w:val="32"/>
        </w:rPr>
        <w:t>作，把评价结果应用作为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</w:t>
      </w:r>
      <w:r>
        <w:rPr>
          <w:rFonts w:hint="eastAsia" w:ascii="仿宋" w:hAnsi="仿宋" w:eastAsia="仿宋" w:cs="仿宋"/>
          <w:sz w:val="32"/>
          <w:szCs w:val="32"/>
        </w:rPr>
        <w:t>过程预算绩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效</w:t>
      </w:r>
      <w:r>
        <w:rPr>
          <w:rFonts w:hint="eastAsia" w:ascii="仿宋" w:hAnsi="仿宋" w:eastAsia="仿宋" w:cs="仿宋"/>
          <w:sz w:val="32"/>
          <w:szCs w:val="32"/>
        </w:rPr>
        <w:t>管理的落脚点，及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</w:t>
      </w:r>
      <w:r>
        <w:rPr>
          <w:rFonts w:hint="eastAsia" w:ascii="仿宋" w:hAnsi="仿宋" w:eastAsia="仿宋" w:cs="仿宋"/>
          <w:sz w:val="32"/>
          <w:szCs w:val="32"/>
        </w:rPr>
        <w:t>整理、归纳、分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析</w:t>
      </w:r>
      <w:r>
        <w:rPr>
          <w:rFonts w:hint="eastAsia" w:ascii="仿宋" w:hAnsi="仿宋" w:eastAsia="仿宋" w:cs="仿宋"/>
          <w:sz w:val="32"/>
          <w:szCs w:val="32"/>
        </w:rPr>
        <w:t>、反馈绩效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评价</w:t>
      </w:r>
      <w:r>
        <w:rPr>
          <w:rFonts w:hint="eastAsia" w:ascii="仿宋" w:hAnsi="仿宋" w:eastAsia="仿宋" w:cs="仿宋"/>
          <w:sz w:val="32"/>
          <w:szCs w:val="32"/>
        </w:rPr>
        <w:t>结果，并将其作为部门预算绩效管理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考核</w:t>
      </w:r>
      <w:r>
        <w:rPr>
          <w:rFonts w:hint="eastAsia" w:ascii="仿宋" w:hAnsi="仿宋" w:eastAsia="仿宋" w:cs="仿宋"/>
          <w:sz w:val="32"/>
          <w:szCs w:val="32"/>
        </w:rPr>
        <w:t>的重要依据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560" w:lineRule="exact"/>
        <w:ind w:firstLine="723" w:firstLineChars="200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line="560" w:lineRule="exact"/>
        <w:ind w:firstLine="723" w:firstLineChars="200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line="560" w:lineRule="exact"/>
        <w:ind w:firstLine="723" w:firstLineChars="200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line="560" w:lineRule="exact"/>
        <w:ind w:firstLine="723" w:firstLineChars="200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line="560" w:lineRule="exact"/>
        <w:ind w:firstLine="72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2019年度金属非金属矿山“专家会诊”隐患排查项目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绩效评价主要依据文件资料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此次评价主要依据文件有：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《承德市财</w:t>
      </w:r>
      <w:r>
        <w:rPr>
          <w:rFonts w:hint="eastAsia" w:ascii="仿宋" w:hAnsi="仿宋" w:eastAsia="仿宋" w:cs="仿宋"/>
          <w:sz w:val="30"/>
          <w:szCs w:val="30"/>
        </w:rPr>
        <w:t>政局关于批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复</w:t>
      </w: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sz w:val="30"/>
          <w:szCs w:val="30"/>
        </w:rPr>
        <w:t>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级</w:t>
      </w:r>
      <w:r>
        <w:rPr>
          <w:rFonts w:hint="eastAsia" w:ascii="仿宋" w:hAnsi="仿宋" w:eastAsia="仿宋" w:cs="仿宋"/>
          <w:sz w:val="30"/>
          <w:szCs w:val="30"/>
        </w:rPr>
        <w:t>部门收支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预</w:t>
      </w:r>
      <w:r>
        <w:rPr>
          <w:rFonts w:hint="eastAsia" w:ascii="仿宋" w:hAnsi="仿宋" w:eastAsia="仿宋" w:cs="仿宋"/>
          <w:sz w:val="30"/>
          <w:szCs w:val="30"/>
        </w:rPr>
        <w:t>算的通知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》（</w:t>
      </w:r>
      <w:r>
        <w:rPr>
          <w:rFonts w:hint="eastAsia" w:ascii="仿宋" w:hAnsi="仿宋" w:eastAsia="仿宋" w:cs="仿宋"/>
          <w:sz w:val="30"/>
          <w:szCs w:val="30"/>
        </w:rPr>
        <w:t xml:space="preserve">承财预[2019]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号）、《承德市市级部门预算项目绩效管理办法</w:t>
      </w:r>
      <w:r>
        <w:rPr>
          <w:rFonts w:hint="eastAsia" w:ascii="仿宋" w:hAnsi="仿宋" w:eastAsia="仿宋" w:cs="仿宋"/>
          <w:sz w:val="30"/>
          <w:szCs w:val="30"/>
        </w:rPr>
        <w:t>》承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财绩（</w:t>
      </w:r>
      <w:r>
        <w:rPr>
          <w:rFonts w:hint="eastAsia" w:ascii="仿宋" w:hAnsi="仿宋" w:eastAsia="仿宋" w:cs="仿宋"/>
          <w:sz w:val="30"/>
          <w:szCs w:val="30"/>
        </w:rPr>
        <w:t>[2020]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1</w:t>
      </w:r>
      <w:r>
        <w:rPr>
          <w:rFonts w:hint="eastAsia" w:ascii="仿宋" w:hAnsi="仿宋" w:eastAsia="仿宋" w:cs="仿宋"/>
          <w:sz w:val="30"/>
          <w:szCs w:val="30"/>
        </w:rPr>
        <w:t>号）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、《</w:t>
      </w:r>
      <w:r>
        <w:rPr>
          <w:rFonts w:hint="eastAsia" w:ascii="仿宋" w:hAnsi="仿宋" w:eastAsia="仿宋" w:cs="仿宋"/>
          <w:sz w:val="30"/>
          <w:szCs w:val="30"/>
        </w:rPr>
        <w:t>承德市市级部门预算绩效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重</w:t>
      </w:r>
      <w:r>
        <w:rPr>
          <w:rFonts w:hint="eastAsia" w:ascii="仿宋" w:hAnsi="仿宋" w:eastAsia="仿宋" w:cs="仿宋"/>
          <w:sz w:val="30"/>
          <w:szCs w:val="30"/>
        </w:rPr>
        <w:t>点评价管理办法》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承财绩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【</w:t>
      </w:r>
      <w:r>
        <w:rPr>
          <w:rFonts w:hint="eastAsia" w:ascii="仿宋" w:hAnsi="仿宋" w:eastAsia="仿宋" w:cs="仿宋"/>
          <w:sz w:val="30"/>
          <w:szCs w:val="30"/>
        </w:rPr>
        <w:t>2020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】</w:t>
      </w: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号）、《</w:t>
      </w:r>
      <w:r>
        <w:rPr>
          <w:rFonts w:hint="eastAsia" w:ascii="仿宋" w:hAnsi="仿宋" w:eastAsia="仿宋" w:cs="仿宋"/>
          <w:sz w:val="30"/>
          <w:szCs w:val="30"/>
        </w:rPr>
        <w:t>承德市财政局关于印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发</w:t>
      </w:r>
      <w:r>
        <w:rPr>
          <w:rFonts w:hint="eastAsia" w:ascii="仿宋" w:hAnsi="仿宋" w:eastAsia="仿宋" w:cs="仿宋"/>
          <w:sz w:val="30"/>
          <w:szCs w:val="30"/>
        </w:rPr>
        <w:t xml:space="preserve"> 2020年市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级</w:t>
      </w:r>
      <w:r>
        <w:rPr>
          <w:rFonts w:hint="eastAsia" w:ascii="仿宋" w:hAnsi="仿宋" w:eastAsia="仿宋" w:cs="仿宋"/>
          <w:sz w:val="30"/>
          <w:szCs w:val="30"/>
        </w:rPr>
        <w:t>预算绩效部门重点评价的计划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通</w:t>
      </w:r>
      <w:r>
        <w:rPr>
          <w:rFonts w:hint="eastAsia" w:ascii="仿宋" w:hAnsi="仿宋" w:eastAsia="仿宋" w:cs="仿宋"/>
          <w:sz w:val="30"/>
          <w:szCs w:val="30"/>
        </w:rPr>
        <w:t>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sz w:val="30"/>
          <w:szCs w:val="30"/>
        </w:rPr>
        <w:t>承财评价[2020]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/>
          <w:sz w:val="30"/>
          <w:szCs w:val="30"/>
          <w:lang w:eastAsia="zh-CN"/>
        </w:rPr>
      </w:pPr>
    </w:p>
    <w:p>
      <w:pPr>
        <w:jc w:val="left"/>
        <w:rPr>
          <w:rFonts w:hint="eastAsia"/>
          <w:sz w:val="30"/>
          <w:szCs w:val="30"/>
          <w:lang w:eastAsia="zh-CN"/>
        </w:rPr>
      </w:pPr>
    </w:p>
    <w:p>
      <w:pPr>
        <w:jc w:val="left"/>
        <w:rPr>
          <w:rFonts w:hint="eastAsia"/>
          <w:sz w:val="30"/>
          <w:szCs w:val="30"/>
          <w:lang w:eastAsia="zh-CN"/>
        </w:rPr>
      </w:pPr>
    </w:p>
    <w:p>
      <w:pPr>
        <w:jc w:val="left"/>
        <w:rPr>
          <w:rFonts w:hint="eastAsia"/>
          <w:sz w:val="30"/>
          <w:szCs w:val="30"/>
          <w:lang w:eastAsia="zh-CN"/>
        </w:rPr>
      </w:pPr>
    </w:p>
    <w:p>
      <w:pPr>
        <w:spacing w:line="560" w:lineRule="exact"/>
        <w:ind w:firstLine="72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2019年度金属非金属矿山“专家会诊”隐患排查项目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绩效评价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培训登记表</w:t>
      </w:r>
    </w:p>
    <w:p>
      <w:pPr>
        <w:jc w:val="left"/>
        <w:rPr>
          <w:rFonts w:hint="eastAsia"/>
          <w:sz w:val="30"/>
          <w:szCs w:val="30"/>
          <w:lang w:eastAsia="zh-CN"/>
        </w:rPr>
      </w:pPr>
    </w:p>
    <w:p>
      <w:pPr>
        <w:jc w:val="left"/>
        <w:rPr>
          <w:rFonts w:hint="eastAsia"/>
          <w:sz w:val="30"/>
          <w:szCs w:val="30"/>
          <w:lang w:eastAsia="zh-CN"/>
        </w:rPr>
      </w:pPr>
    </w:p>
    <w:p>
      <w:pPr>
        <w:jc w:val="left"/>
        <w:rPr>
          <w:rFonts w:hint="eastAsia"/>
          <w:sz w:val="30"/>
          <w:szCs w:val="30"/>
          <w:lang w:eastAsia="zh-CN"/>
        </w:rPr>
      </w:pPr>
    </w:p>
    <w:p>
      <w:pPr>
        <w:jc w:val="left"/>
        <w:rPr>
          <w:rFonts w:hint="eastAsia"/>
          <w:sz w:val="30"/>
          <w:szCs w:val="30"/>
          <w:lang w:eastAsia="zh-CN"/>
        </w:rPr>
      </w:pP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ind w:firstLine="883" w:firstLineChars="200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92" w:lineRule="exact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92" w:lineRule="exact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92" w:lineRule="exact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92" w:lineRule="exact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92" w:lineRule="exact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92" w:lineRule="exact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92" w:lineRule="exact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92" w:lineRule="exact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92" w:lineRule="exact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92" w:lineRule="exact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92" w:lineRule="exact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ind w:firstLine="2168" w:firstLineChars="600"/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关于召开预算重点项目</w:t>
      </w:r>
    </w:p>
    <w:p>
      <w:pPr>
        <w:ind w:firstLine="1446" w:firstLineChars="400"/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绩效评价工作培训会议的通知</w:t>
      </w:r>
    </w:p>
    <w:p>
      <w:pPr>
        <w:jc w:val="left"/>
        <w:rPr>
          <w:rFonts w:hint="eastAsia"/>
          <w:sz w:val="30"/>
          <w:szCs w:val="30"/>
        </w:rPr>
      </w:pP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局机关各科室</w:t>
      </w:r>
      <w:r>
        <w:rPr>
          <w:rFonts w:hint="eastAsia"/>
          <w:sz w:val="32"/>
          <w:szCs w:val="32"/>
        </w:rPr>
        <w:t>：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按</w:t>
      </w:r>
      <w:r>
        <w:rPr>
          <w:rFonts w:hint="eastAsia"/>
          <w:sz w:val="32"/>
          <w:szCs w:val="32"/>
          <w:lang w:eastAsia="zh-CN"/>
        </w:rPr>
        <w:t>照</w:t>
      </w:r>
      <w:r>
        <w:rPr>
          <w:rFonts w:hint="eastAsia"/>
          <w:sz w:val="32"/>
          <w:szCs w:val="32"/>
        </w:rPr>
        <w:t>承</w:t>
      </w:r>
      <w:r>
        <w:rPr>
          <w:rFonts w:hint="eastAsia"/>
          <w:sz w:val="32"/>
          <w:szCs w:val="32"/>
          <w:lang w:eastAsia="zh-CN"/>
        </w:rPr>
        <w:t>德</w:t>
      </w:r>
      <w:r>
        <w:rPr>
          <w:rFonts w:hint="eastAsia"/>
          <w:sz w:val="32"/>
          <w:szCs w:val="32"/>
        </w:rPr>
        <w:t>市财政局</w:t>
      </w:r>
      <w:r>
        <w:rPr>
          <w:rFonts w:hint="eastAsia"/>
          <w:sz w:val="32"/>
          <w:szCs w:val="32"/>
          <w:lang w:eastAsia="zh-CN"/>
        </w:rPr>
        <w:t>《</w:t>
      </w:r>
      <w:r>
        <w:rPr>
          <w:rFonts w:hint="eastAsia"/>
          <w:sz w:val="32"/>
          <w:szCs w:val="32"/>
        </w:rPr>
        <w:t>承德市市</w:t>
      </w:r>
      <w:r>
        <w:rPr>
          <w:rFonts w:hint="eastAsia"/>
          <w:sz w:val="32"/>
          <w:szCs w:val="32"/>
          <w:lang w:eastAsia="zh-CN"/>
        </w:rPr>
        <w:t>级</w:t>
      </w:r>
      <w:r>
        <w:rPr>
          <w:rFonts w:hint="eastAsia"/>
          <w:sz w:val="32"/>
          <w:szCs w:val="32"/>
        </w:rPr>
        <w:t>预算绩效重点评价管理办法</w:t>
      </w:r>
      <w:r>
        <w:rPr>
          <w:rFonts w:hint="eastAsia"/>
          <w:sz w:val="32"/>
          <w:szCs w:val="32"/>
          <w:lang w:eastAsia="zh-CN"/>
        </w:rPr>
        <w:t>》</w:t>
      </w:r>
      <w:r>
        <w:rPr>
          <w:rFonts w:hint="eastAsia"/>
          <w:sz w:val="32"/>
          <w:szCs w:val="32"/>
        </w:rPr>
        <w:t>（承财绩</w:t>
      </w:r>
      <w:r>
        <w:rPr>
          <w:rFonts w:hint="eastAsia"/>
          <w:sz w:val="32"/>
          <w:szCs w:val="32"/>
          <w:lang w:eastAsia="zh-CN"/>
        </w:rPr>
        <w:t>【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  <w:lang w:eastAsia="zh-CN"/>
        </w:rPr>
        <w:t>】</w:t>
      </w:r>
      <w:r>
        <w:rPr>
          <w:rFonts w:hint="eastAsia"/>
          <w:sz w:val="32"/>
          <w:szCs w:val="32"/>
        </w:rPr>
        <w:t>2号）、及</w:t>
      </w:r>
      <w:r>
        <w:rPr>
          <w:rFonts w:hint="eastAsia"/>
          <w:sz w:val="32"/>
          <w:szCs w:val="32"/>
          <w:lang w:eastAsia="zh-CN"/>
        </w:rPr>
        <w:t>《</w:t>
      </w:r>
      <w:r>
        <w:rPr>
          <w:rFonts w:hint="eastAsia"/>
          <w:sz w:val="32"/>
          <w:szCs w:val="32"/>
        </w:rPr>
        <w:t>承德市财政局关于印发2020年市级预算绩效部门重点评</w:t>
      </w:r>
      <w:r>
        <w:rPr>
          <w:rFonts w:hint="eastAsia"/>
          <w:sz w:val="32"/>
          <w:szCs w:val="32"/>
          <w:lang w:eastAsia="zh-CN"/>
        </w:rPr>
        <w:t>价</w:t>
      </w:r>
      <w:r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  <w:lang w:eastAsia="zh-CN"/>
        </w:rPr>
        <w:t>计</w:t>
      </w:r>
      <w:r>
        <w:rPr>
          <w:rFonts w:hint="eastAsia"/>
          <w:sz w:val="32"/>
          <w:szCs w:val="32"/>
        </w:rPr>
        <w:t>划通知》（承财评价[2020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6号）要求，为了解项目总体</w:t>
      </w:r>
      <w:r>
        <w:rPr>
          <w:rFonts w:hint="eastAsia"/>
          <w:sz w:val="32"/>
          <w:szCs w:val="32"/>
          <w:lang w:eastAsia="zh-CN"/>
        </w:rPr>
        <w:t>情况</w:t>
      </w:r>
      <w:r>
        <w:rPr>
          <w:rFonts w:hint="eastAsia"/>
          <w:sz w:val="32"/>
          <w:szCs w:val="32"/>
        </w:rPr>
        <w:t>，学习</w:t>
      </w:r>
      <w:r>
        <w:rPr>
          <w:rFonts w:hint="eastAsia"/>
          <w:sz w:val="32"/>
          <w:szCs w:val="32"/>
          <w:lang w:eastAsia="zh-CN"/>
        </w:rPr>
        <w:t>绩</w:t>
      </w:r>
      <w:r>
        <w:rPr>
          <w:rFonts w:hint="eastAsia"/>
          <w:sz w:val="32"/>
          <w:szCs w:val="32"/>
        </w:rPr>
        <w:t>效</w:t>
      </w:r>
      <w:r>
        <w:rPr>
          <w:rFonts w:hint="eastAsia"/>
          <w:sz w:val="32"/>
          <w:szCs w:val="32"/>
          <w:lang w:eastAsia="zh-CN"/>
        </w:rPr>
        <w:t>评</w:t>
      </w:r>
      <w:r>
        <w:rPr>
          <w:rFonts w:hint="eastAsia"/>
          <w:sz w:val="32"/>
          <w:szCs w:val="32"/>
        </w:rPr>
        <w:t>价政</w:t>
      </w:r>
      <w:r>
        <w:rPr>
          <w:rFonts w:hint="eastAsia"/>
          <w:sz w:val="32"/>
          <w:szCs w:val="32"/>
          <w:lang w:eastAsia="zh-CN"/>
        </w:rPr>
        <w:t>策</w:t>
      </w:r>
      <w:r>
        <w:rPr>
          <w:rFonts w:hint="eastAsia"/>
          <w:sz w:val="32"/>
          <w:szCs w:val="32"/>
        </w:rPr>
        <w:t>、评价标准，</w:t>
      </w:r>
      <w:r>
        <w:rPr>
          <w:rFonts w:hint="eastAsia"/>
          <w:sz w:val="32"/>
          <w:szCs w:val="32"/>
          <w:lang w:eastAsia="zh-CN"/>
        </w:rPr>
        <w:t>了</w:t>
      </w:r>
      <w:r>
        <w:rPr>
          <w:rFonts w:hint="eastAsia"/>
          <w:sz w:val="32"/>
          <w:szCs w:val="32"/>
        </w:rPr>
        <w:t>解财政支出绩效</w:t>
      </w:r>
      <w:r>
        <w:rPr>
          <w:rFonts w:hint="eastAsia"/>
          <w:sz w:val="32"/>
          <w:szCs w:val="32"/>
          <w:lang w:eastAsia="zh-CN"/>
        </w:rPr>
        <w:t>评</w:t>
      </w:r>
      <w:r>
        <w:rPr>
          <w:rFonts w:hint="eastAsia"/>
          <w:sz w:val="32"/>
          <w:szCs w:val="32"/>
        </w:rPr>
        <w:t>价方法和有关要求，承德</w:t>
      </w:r>
      <w:r>
        <w:rPr>
          <w:rFonts w:hint="eastAsia"/>
          <w:sz w:val="32"/>
          <w:szCs w:val="32"/>
          <w:lang w:eastAsia="zh-CN"/>
        </w:rPr>
        <w:t>市应急</w:t>
      </w:r>
      <w:r>
        <w:rPr>
          <w:rFonts w:hint="eastAsia"/>
          <w:sz w:val="32"/>
          <w:szCs w:val="32"/>
        </w:rPr>
        <w:t>管理局绩效评价工作小组</w:t>
      </w:r>
      <w:r>
        <w:rPr>
          <w:rFonts w:hint="eastAsia"/>
          <w:sz w:val="32"/>
          <w:szCs w:val="32"/>
          <w:lang w:eastAsia="zh-CN"/>
        </w:rPr>
        <w:t>决</w:t>
      </w:r>
      <w:r>
        <w:rPr>
          <w:rFonts w:hint="eastAsia"/>
          <w:sz w:val="32"/>
          <w:szCs w:val="32"/>
        </w:rPr>
        <w:t>定召开预算重点项目绩</w:t>
      </w:r>
      <w:r>
        <w:rPr>
          <w:rFonts w:hint="eastAsia"/>
          <w:sz w:val="32"/>
          <w:szCs w:val="32"/>
          <w:lang w:eastAsia="zh-CN"/>
        </w:rPr>
        <w:t>效</w:t>
      </w:r>
      <w:r>
        <w:rPr>
          <w:rFonts w:hint="eastAsia"/>
          <w:sz w:val="32"/>
          <w:szCs w:val="32"/>
        </w:rPr>
        <w:t>评价工作培训会议．具体安排如下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ind w:firstLine="643" w:firstLineChars="200"/>
        <w:jc w:val="lef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会议时间</w:t>
      </w:r>
      <w:r>
        <w:rPr>
          <w:rFonts w:hint="eastAsia"/>
          <w:sz w:val="32"/>
          <w:szCs w:val="32"/>
        </w:rPr>
        <w:t>：6月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日上午9</w:t>
      </w:r>
      <w:r>
        <w:rPr>
          <w:rFonts w:hint="eastAsia"/>
          <w:sz w:val="32"/>
          <w:szCs w:val="32"/>
          <w:lang w:val="en-US" w:eastAsia="zh-CN"/>
        </w:rPr>
        <w:t>:00</w:t>
      </w:r>
    </w:p>
    <w:p>
      <w:pPr>
        <w:ind w:firstLine="643" w:firstLineChars="200"/>
        <w:jc w:val="lef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会议地点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lang w:eastAsia="zh-CN"/>
        </w:rPr>
        <w:t>应急管理局</w:t>
      </w:r>
      <w:r>
        <w:rPr>
          <w:rFonts w:hint="eastAsia"/>
          <w:sz w:val="32"/>
          <w:szCs w:val="32"/>
          <w:lang w:val="en-US" w:eastAsia="zh-CN"/>
        </w:rPr>
        <w:t>2603会议室</w:t>
      </w:r>
    </w:p>
    <w:p>
      <w:pPr>
        <w:ind w:firstLine="643" w:firstLineChars="200"/>
        <w:jc w:val="lef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参加人员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lang w:eastAsia="zh-CN"/>
        </w:rPr>
        <w:t>闫洪涛</w:t>
      </w:r>
      <w:r>
        <w:rPr>
          <w:rFonts w:hint="eastAsia"/>
          <w:sz w:val="32"/>
          <w:szCs w:val="32"/>
          <w:lang w:val="en-US" w:eastAsia="zh-CN"/>
        </w:rPr>
        <w:t xml:space="preserve">    曲志清    任志华    王建华     李东阳    原立吉    王旭   张玉坤  龚健   王士学   朱丽丽</w:t>
      </w: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附件：培训登记表</w:t>
      </w:r>
    </w:p>
    <w:p>
      <w:pPr>
        <w:jc w:val="left"/>
        <w:rPr>
          <w:rFonts w:hint="eastAsia"/>
          <w:sz w:val="32"/>
          <w:szCs w:val="32"/>
        </w:rPr>
      </w:pPr>
    </w:p>
    <w:p>
      <w:pPr>
        <w:ind w:firstLine="5440" w:firstLineChars="17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2020年6月</w:t>
      </w:r>
      <w:r>
        <w:rPr>
          <w:rFonts w:hint="eastAsia"/>
          <w:sz w:val="32"/>
          <w:szCs w:val="32"/>
          <w:lang w:val="en-US" w:eastAsia="zh-CN"/>
        </w:rPr>
        <w:t>15</w:t>
      </w:r>
      <w:r>
        <w:rPr>
          <w:rFonts w:hint="eastAsia"/>
          <w:sz w:val="32"/>
          <w:szCs w:val="32"/>
        </w:rPr>
        <w:t xml:space="preserve">日 </w:t>
      </w:r>
    </w:p>
    <w:p>
      <w:pPr>
        <w:spacing w:line="592" w:lineRule="exact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rtlGutter w:val="0"/>
          <w:docGrid w:type="lines" w:linePitch="312" w:charSpace="0"/>
        </w:sectPr>
      </w:pPr>
    </w:p>
    <w:p>
      <w:pPr>
        <w:spacing w:line="560" w:lineRule="exact"/>
        <w:ind w:firstLine="1280" w:firstLineChars="400"/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应急管理局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2020年预算绩效评价培训签到表</w:t>
      </w:r>
    </w:p>
    <w:p>
      <w:pPr>
        <w:spacing w:line="560" w:lineRule="exact"/>
        <w:ind w:firstLine="1280" w:firstLineChars="400"/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2450"/>
        <w:gridCol w:w="2675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6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部门及职务</w:t>
            </w:r>
          </w:p>
        </w:tc>
        <w:tc>
          <w:tcPr>
            <w:tcW w:w="223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6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23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6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23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6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23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6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23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6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23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6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23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6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23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6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23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6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23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6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23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6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23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6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23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6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23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6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23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6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23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6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23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67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  <w:tc>
          <w:tcPr>
            <w:tcW w:w="223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44"/>
                <w:szCs w:val="44"/>
                <w:vertAlign w:val="baseline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" w:hAnsi="仿宋" w:eastAsia="仿宋"/>
          <w:sz w:val="44"/>
          <w:szCs w:val="44"/>
        </w:rPr>
      </w:pPr>
    </w:p>
    <w:p>
      <w:pPr>
        <w:jc w:val="left"/>
        <w:rPr>
          <w:rFonts w:hint="eastAsia" w:asciiTheme="minorEastAsia" w:hAnsiTheme="minorEastAsia" w:cstheme="minorEastAsia"/>
          <w:b w:val="0"/>
          <w:bCs w:val="0"/>
          <w:sz w:val="36"/>
          <w:szCs w:val="36"/>
          <w:lang w:val="en-US" w:eastAsia="zh-CN"/>
        </w:rPr>
      </w:pPr>
    </w:p>
    <w:p>
      <w:pPr>
        <w:ind w:firstLine="3960" w:firstLineChars="1100"/>
        <w:jc w:val="left"/>
        <w:rPr>
          <w:rFonts w:hint="eastAsia" w:asciiTheme="minorEastAsia" w:hAnsiTheme="minorEastAsia" w:cstheme="minorEastAsia"/>
          <w:b w:val="0"/>
          <w:bCs w:val="0"/>
          <w:sz w:val="36"/>
          <w:szCs w:val="36"/>
          <w:lang w:val="en-US" w:eastAsia="zh-CN"/>
        </w:rPr>
      </w:pPr>
    </w:p>
    <w:p>
      <w:pPr>
        <w:ind w:firstLine="5040" w:firstLineChars="1400"/>
        <w:jc w:val="both"/>
        <w:rPr>
          <w:rFonts w:hint="default" w:asciiTheme="minorEastAsia" w:hAnsiTheme="minorEastAsia" w:cstheme="minorEastAsia"/>
          <w:b w:val="0"/>
          <w:bCs w:val="0"/>
          <w:sz w:val="36"/>
          <w:szCs w:val="36"/>
          <w:lang w:val="en-US" w:eastAsia="zh-CN"/>
        </w:rPr>
      </w:pPr>
    </w:p>
    <w:p>
      <w:pPr>
        <w:ind w:firstLine="5040" w:firstLineChars="1400"/>
        <w:jc w:val="both"/>
        <w:rPr>
          <w:rFonts w:hint="default" w:asciiTheme="minorEastAsia" w:hAnsiTheme="minorEastAsia" w:cstheme="minorEastAsia"/>
          <w:b w:val="0"/>
          <w:bCs w:val="0"/>
          <w:sz w:val="36"/>
          <w:szCs w:val="36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72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2019年度金属非金属矿山“专家会诊”隐患排查项目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绩效评价工作底稿（含佐证材料）</w:t>
      </w:r>
    </w:p>
    <w:p>
      <w:pPr>
        <w:spacing w:line="560" w:lineRule="exact"/>
        <w:ind w:firstLine="72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line="560" w:lineRule="exact"/>
        <w:ind w:firstLine="72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line="560" w:lineRule="exact"/>
        <w:ind w:firstLine="72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line="560" w:lineRule="exact"/>
        <w:ind w:firstLine="72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line="560" w:lineRule="exact"/>
        <w:ind w:firstLine="72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line="560" w:lineRule="exact"/>
        <w:ind w:firstLine="72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line="560" w:lineRule="exact"/>
        <w:ind w:firstLine="72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line="560" w:lineRule="exact"/>
        <w:ind w:firstLine="72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line="560" w:lineRule="exact"/>
        <w:ind w:firstLine="72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line="560" w:lineRule="exact"/>
        <w:ind w:firstLine="72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line="560" w:lineRule="exact"/>
        <w:ind w:firstLine="72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line="560" w:lineRule="exact"/>
        <w:ind w:firstLine="72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ind w:firstLine="5060" w:firstLineChars="1400"/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 AQAADwAAAGRycy9kb3ducmV2LnhtbE2PQUvDQBCF74L/YRmhN7tpKxJiNgVL06Ng48HjNjsm0d3Z sLtN4793FEEvwzze8OZ75XZ2VkwY4uBJwWqZgUBqvRmoU/DS1Lc5iJg0GW09oYJPjLCtrq9KXRh/ oWecjqkTHEKx0Ar6lMZCytj26HRc+hGJvTcfnE4sQydN0BcOd1aus+xeOj0Qf+j1iLse24/j2SnY 1U0TJozBvuKh3rw/Pd7hflZqcbPKHkAknNPfMXzjMzpUzHTyZzJRWAVcJP1M9tZ5zvL0u8iqlP/p qy9QSwMEFAAAAAgAh07iQErbzf8SAgAAEwQAAA4AAABkcnMvZTJvRG9jLnhtbK1Ty47TMBTdI/EP lvc0aRGjqmo6KjMqQqqYkQpi7TpOE8kv2W6T8gHwB6zYsOe7+h0cO0kHASvExr6+73vu8fK2U5Kc hPON0QWdTnJKhOambPShoB/eb17MKfGB6ZJJo0VBz8LT29XzZ8vWLsTM1EaWwhEk0X7R2oLWIdhF lnleC8X8xFihYayMUyzg6Q5Z6ViL7Epmszy/yVrjSusMF95De98b6SrlryrBw0NVeRGILCh6C+l0 6dzHM1st2eLgmK0bPrTB/qELxRqNotdU9ywwcnTNH6lUw53xpgoTblRmqqrhIs2Aaab5b9PsamZF mgXgeHuFyf+/tPzd6dGRpsTuKNFMYUWXr18u335cvn8m0whPa/0CXjsLv9C9Nl10HfQeyjh1VzkV b8xDYAfQ5yu4oguEx6D5bD7PYeKwjQ/kyZ7CrfPhjTCKRKGgDttLoLLT1ofedXSJ1bTZNFJCzxZS k7agNy9f5SngakFyqVEjDtE3G6XQ7bthgr0pzxjMmZ4Z3vJNg+Jb5sMjc6ACGga9wwOOShoUMYNE SW3cp7/poz82BCslLahVUA3uUyLfamwusnAU3CjsR0Ef1Z0BV7EN9JJEBLggR7FyRn0E59exBkxM c1QqaBjFu9DTG3+Gi/U6OR2taw51HwDeWRa2emd5LBPR83Z9DAAzYRwB6lEZcAPz0paGXxKp/es7 eT395dVPUEsDBAoAAAAAAIdO4kAAAAAAAAAAAAAAAAAGAAAAX3JlbHMvUEsDBBQAAAAIAIdO4kCK FGY80QAAAJQBAAALAAAAX3JlbHMvLnJlbHOlkMFqwzAMhu+DvYPRfXGawxijTi+j0GvpHsDYimMa W0Yy2fr28w6DZfS2o36h7xP//vCZFrUiS6RsYNf1oDA78jEHA++X49MLKKk2e7tQRgM3FDiMjw/7 My62tiOZYxHVKFkMzLWWV63FzZisdFQwt81EnGxtIwddrLvagHro+2fNvxkwbpjq5A3wyQ+gLrfS zH/YKTomoal2jpKmaYruHlUHtmWO7sg24Ru5RrMcsBrwLBoHalnXfgR9X7/7p97TRz7jutV+h4zr j1dvuhy/AFBLAwQUAAAACACHTuJAfublIPcAAADhAQAAEwAAAFtDb250ZW50X1R5cGVzXS54bWyV kUFOwzAQRfdI3MHyFiVOu0AIJemCtEtAqBxgZE8Si2RseUxob4+TthtEkVjaM/+/J7vcHMZBTBjY OqrkKi+kQNLOWOoq+b7fZQ9ScAQyMDjCSh6R5aa+vSn3R48sUpq4kn2M/lEp1j2OwLnzSGnSujBC TMfQKQ/6AzpU66K4V9pRRIpZnDtkXTbYwucQxfaQrk8mAQeW4um0OLMqCd4PVkNMpmoi84OSnQl5 Si473FvPd0lDql8J8+Q64Jx7SU8TrEHxCiE+w5g0lAmsjPuigFP+d8lsOXLm2tZqzJvATYq94XSx utaOa9c4/d/y7ZK6dKvlg+pvUEsBAhQAFAAAAAgAh07iQH7m5SD3AAAA4QEAABMAAAAAAAAAAQAg AAAAewQAAFtDb250ZW50X1R5cGVzXS54bWxQSwECFAAKAAAAAACHTuJAAAAAAAAAAAAAAAAABgAA AAAAAAAAABAAAABdAwAAX3JlbHMvUEsBAhQAFAAAAAgAh07iQIoUZjzRAAAAlAEAAAsAAAAAAAAA AQAgAAAAgQMAAF9yZWxzLy5yZWxzUEsBAhQACgAAAAAAh07iQAAAAAAAAAAAAAAAAAQAAAAAAAAA AAAQAAAAAAAAAGRycy9QSwECFAAUAAAACACHTuJAs0lY7tAAAAAFAQAADwAAAAAAAAABACAAAAAi AAAAZHJzL2Rvd25yZXYueG1sUEsBAhQAFAAAAAgAh07iQErbzf8SAgAAEwQAAA4AAAAAAAAAAQAg AAAAHwEAAGRycy9lMm9Eb2MueG1sUEsFBgAAAAAGAAYAWQEAAKMFAAAAAA=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211083"/>
    <w:multiLevelType w:val="singleLevel"/>
    <w:tmpl w:val="D821108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C59E2"/>
    <w:rsid w:val="02045059"/>
    <w:rsid w:val="04D14549"/>
    <w:rsid w:val="1ED86A42"/>
    <w:rsid w:val="40544550"/>
    <w:rsid w:val="4B65148C"/>
    <w:rsid w:val="4E2A1158"/>
    <w:rsid w:val="4F7D06D0"/>
    <w:rsid w:val="503C59E2"/>
    <w:rsid w:val="73307A79"/>
    <w:rsid w:val="7358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footer1.xml" Type="http://schemas.openxmlformats.org/officeDocument/2006/relationships/footer"/><Relationship Id="rId4" Target="theme/theme1.xml" Type="http://schemas.openxmlformats.org/officeDocument/2006/relationships/theme"/><Relationship Id="rId5" Target="../customXml/item1.xml" Type="http://schemas.openxmlformats.org/officeDocument/2006/relationships/customXml"/><Relationship Id="rId6" Target="numbering.xml" Type="http://schemas.openxmlformats.org/officeDocument/2006/relationships/numbering"/><Relationship Id="rId7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2020-09-01T02:33:00Z</dcterms:created>
  <dc:creator>走自己的路</dc:creator>
  <cp:lastModifiedBy>走自己的路</cp:lastModifiedBy>
  <cp:lastPrinted>2020-09-02T06:41:00Z</cp:lastPrinted>
  <dcterms:modified xsi:type="dcterms:W3CDTF">2020-11-02T02:28:06Z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